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2B66" w14:textId="77777777" w:rsidR="00770278" w:rsidRPr="005C158A" w:rsidRDefault="00441240" w:rsidP="00401710">
      <w:pPr>
        <w:pStyle w:val="Tytu"/>
        <w:spacing w:before="120" w:after="120" w:line="360" w:lineRule="auto"/>
        <w:contextualSpacing w:val="0"/>
        <w:jc w:val="both"/>
        <w:rPr>
          <w:rFonts w:ascii="Arial" w:hAnsi="Arial" w:cs="Arial"/>
          <w:b/>
          <w:bCs/>
          <w:color w:val="auto"/>
          <w:sz w:val="20"/>
          <w:szCs w:val="20"/>
        </w:rPr>
      </w:pPr>
      <w:r w:rsidRPr="005C158A">
        <w:rPr>
          <w:rFonts w:ascii="Arial" w:hAnsi="Arial" w:cs="Arial"/>
          <w:b/>
          <w:bCs/>
          <w:color w:val="auto"/>
          <w:sz w:val="20"/>
          <w:szCs w:val="20"/>
        </w:rPr>
        <w:t>UZASADNIENIE</w:t>
      </w:r>
    </w:p>
    <w:sdt>
      <w:sdtPr>
        <w:rPr>
          <w:rFonts w:ascii="Arial" w:eastAsiaTheme="minorHAnsi" w:hAnsi="Arial" w:cs="Arial"/>
          <w:b w:val="0"/>
          <w:bCs w:val="0"/>
          <w:color w:val="auto"/>
          <w:sz w:val="20"/>
          <w:szCs w:val="20"/>
          <w:lang w:eastAsia="en-US"/>
        </w:rPr>
        <w:id w:val="615416496"/>
        <w:docPartObj>
          <w:docPartGallery w:val="Table of Contents"/>
          <w:docPartUnique/>
        </w:docPartObj>
      </w:sdtPr>
      <w:sdtContent>
        <w:p w14:paraId="2025DEF8" w14:textId="77777777" w:rsidR="001914A6" w:rsidRPr="005C158A" w:rsidRDefault="001914A6" w:rsidP="00401710">
          <w:pPr>
            <w:pStyle w:val="Nagwekspisutreci"/>
            <w:spacing w:before="120" w:after="120" w:line="360" w:lineRule="auto"/>
            <w:jc w:val="both"/>
            <w:rPr>
              <w:rFonts w:ascii="Arial" w:hAnsi="Arial" w:cs="Arial"/>
              <w:color w:val="auto"/>
              <w:sz w:val="20"/>
              <w:szCs w:val="20"/>
            </w:rPr>
          </w:pPr>
          <w:r w:rsidRPr="005C158A">
            <w:rPr>
              <w:rFonts w:ascii="Arial" w:hAnsi="Arial" w:cs="Arial"/>
              <w:color w:val="auto"/>
              <w:sz w:val="20"/>
              <w:szCs w:val="20"/>
            </w:rPr>
            <w:t>Spis treści</w:t>
          </w:r>
        </w:p>
        <w:p w14:paraId="582F763F" w14:textId="15568DCC" w:rsidR="006A6CFC" w:rsidRDefault="001914A6">
          <w:pPr>
            <w:pStyle w:val="Spistreci1"/>
            <w:rPr>
              <w:rFonts w:eastAsiaTheme="minorEastAsia"/>
              <w:noProof/>
              <w:kern w:val="2"/>
              <w:lang w:eastAsia="pl-PL"/>
              <w14:ligatures w14:val="standardContextual"/>
            </w:rPr>
          </w:pPr>
          <w:r w:rsidRPr="005C158A">
            <w:rPr>
              <w:rFonts w:ascii="Arial" w:hAnsi="Arial" w:cs="Arial"/>
              <w:sz w:val="20"/>
              <w:szCs w:val="20"/>
            </w:rPr>
            <w:fldChar w:fldCharType="begin"/>
          </w:r>
          <w:r w:rsidRPr="005C158A">
            <w:rPr>
              <w:rFonts w:ascii="Arial" w:hAnsi="Arial" w:cs="Arial"/>
              <w:sz w:val="20"/>
              <w:szCs w:val="20"/>
            </w:rPr>
            <w:instrText xml:space="preserve"> TOC \o "1-3" \h \z \u </w:instrText>
          </w:r>
          <w:r w:rsidRPr="005C158A">
            <w:rPr>
              <w:rFonts w:ascii="Arial" w:hAnsi="Arial" w:cs="Arial"/>
              <w:sz w:val="20"/>
              <w:szCs w:val="20"/>
            </w:rPr>
            <w:fldChar w:fldCharType="separate"/>
          </w:r>
          <w:hyperlink w:anchor="_Toc138329742" w:history="1">
            <w:r w:rsidR="006A6CFC" w:rsidRPr="00996A16">
              <w:rPr>
                <w:rStyle w:val="Hipercze"/>
                <w:rFonts w:ascii="Arial" w:hAnsi="Arial" w:cs="Arial"/>
                <w:noProof/>
              </w:rPr>
              <w:t>Cel i potrzeba ustawy</w:t>
            </w:r>
            <w:r w:rsidR="006A6CFC">
              <w:rPr>
                <w:noProof/>
                <w:webHidden/>
              </w:rPr>
              <w:tab/>
            </w:r>
            <w:r w:rsidR="006A6CFC">
              <w:rPr>
                <w:noProof/>
                <w:webHidden/>
              </w:rPr>
              <w:fldChar w:fldCharType="begin"/>
            </w:r>
            <w:r w:rsidR="006A6CFC">
              <w:rPr>
                <w:noProof/>
                <w:webHidden/>
              </w:rPr>
              <w:instrText xml:space="preserve"> PAGEREF _Toc138329742 \h </w:instrText>
            </w:r>
            <w:r w:rsidR="006A6CFC">
              <w:rPr>
                <w:noProof/>
                <w:webHidden/>
              </w:rPr>
            </w:r>
            <w:r w:rsidR="006A6CFC">
              <w:rPr>
                <w:noProof/>
                <w:webHidden/>
              </w:rPr>
              <w:fldChar w:fldCharType="separate"/>
            </w:r>
            <w:r w:rsidR="006A6CFC">
              <w:rPr>
                <w:noProof/>
                <w:webHidden/>
              </w:rPr>
              <w:t>4</w:t>
            </w:r>
            <w:r w:rsidR="006A6CFC">
              <w:rPr>
                <w:noProof/>
                <w:webHidden/>
              </w:rPr>
              <w:fldChar w:fldCharType="end"/>
            </w:r>
          </w:hyperlink>
        </w:p>
        <w:p w14:paraId="2FD83EAE" w14:textId="47C961DD" w:rsidR="006A6CFC" w:rsidRDefault="00000000">
          <w:pPr>
            <w:pStyle w:val="Spistreci1"/>
            <w:rPr>
              <w:rFonts w:eastAsiaTheme="minorEastAsia"/>
              <w:noProof/>
              <w:kern w:val="2"/>
              <w:lang w:eastAsia="pl-PL"/>
              <w14:ligatures w14:val="standardContextual"/>
            </w:rPr>
          </w:pPr>
          <w:hyperlink w:anchor="_Toc138329743" w:history="1">
            <w:r w:rsidR="006A6CFC" w:rsidRPr="00996A16">
              <w:rPr>
                <w:rStyle w:val="Hipercze"/>
                <w:rFonts w:ascii="Arial" w:hAnsi="Arial" w:cs="Arial"/>
                <w:noProof/>
              </w:rPr>
              <w:t>Aktualny stan prawny i projektowane zmiany</w:t>
            </w:r>
            <w:r w:rsidR="006A6CFC">
              <w:rPr>
                <w:noProof/>
                <w:webHidden/>
              </w:rPr>
              <w:tab/>
            </w:r>
            <w:r w:rsidR="006A6CFC">
              <w:rPr>
                <w:noProof/>
                <w:webHidden/>
              </w:rPr>
              <w:fldChar w:fldCharType="begin"/>
            </w:r>
            <w:r w:rsidR="006A6CFC">
              <w:rPr>
                <w:noProof/>
                <w:webHidden/>
              </w:rPr>
              <w:instrText xml:space="preserve"> PAGEREF _Toc138329743 \h </w:instrText>
            </w:r>
            <w:r w:rsidR="006A6CFC">
              <w:rPr>
                <w:noProof/>
                <w:webHidden/>
              </w:rPr>
            </w:r>
            <w:r w:rsidR="006A6CFC">
              <w:rPr>
                <w:noProof/>
                <w:webHidden/>
              </w:rPr>
              <w:fldChar w:fldCharType="separate"/>
            </w:r>
            <w:r w:rsidR="006A6CFC">
              <w:rPr>
                <w:noProof/>
                <w:webHidden/>
              </w:rPr>
              <w:t>6</w:t>
            </w:r>
            <w:r w:rsidR="006A6CFC">
              <w:rPr>
                <w:noProof/>
                <w:webHidden/>
              </w:rPr>
              <w:fldChar w:fldCharType="end"/>
            </w:r>
          </w:hyperlink>
        </w:p>
        <w:p w14:paraId="15E9735A" w14:textId="2C200E0C" w:rsidR="006A6CFC" w:rsidRDefault="00000000">
          <w:pPr>
            <w:pStyle w:val="Spistreci2"/>
            <w:rPr>
              <w:rFonts w:eastAsiaTheme="minorEastAsia"/>
              <w:noProof/>
              <w:kern w:val="2"/>
              <w:lang w:eastAsia="pl-PL"/>
              <w14:ligatures w14:val="standardContextual"/>
            </w:rPr>
          </w:pPr>
          <w:hyperlink w:anchor="_Toc138329744" w:history="1">
            <w:r w:rsidR="006A6CFC" w:rsidRPr="00996A16">
              <w:rPr>
                <w:rStyle w:val="Hipercze"/>
                <w:rFonts w:ascii="Arial" w:hAnsi="Arial" w:cs="Arial"/>
                <w:noProof/>
              </w:rPr>
              <w:t>Ustawa z dnia 14 czerwca 1960 r. – Kodeks postępowania administracyjnego</w:t>
            </w:r>
            <w:r w:rsidR="006A6CFC">
              <w:rPr>
                <w:noProof/>
                <w:webHidden/>
              </w:rPr>
              <w:tab/>
            </w:r>
            <w:r w:rsidR="006A6CFC">
              <w:rPr>
                <w:noProof/>
                <w:webHidden/>
              </w:rPr>
              <w:fldChar w:fldCharType="begin"/>
            </w:r>
            <w:r w:rsidR="006A6CFC">
              <w:rPr>
                <w:noProof/>
                <w:webHidden/>
              </w:rPr>
              <w:instrText xml:space="preserve"> PAGEREF _Toc138329744 \h </w:instrText>
            </w:r>
            <w:r w:rsidR="006A6CFC">
              <w:rPr>
                <w:noProof/>
                <w:webHidden/>
              </w:rPr>
            </w:r>
            <w:r w:rsidR="006A6CFC">
              <w:rPr>
                <w:noProof/>
                <w:webHidden/>
              </w:rPr>
              <w:fldChar w:fldCharType="separate"/>
            </w:r>
            <w:r w:rsidR="006A6CFC">
              <w:rPr>
                <w:noProof/>
                <w:webHidden/>
              </w:rPr>
              <w:t>6</w:t>
            </w:r>
            <w:r w:rsidR="006A6CFC">
              <w:rPr>
                <w:noProof/>
                <w:webHidden/>
              </w:rPr>
              <w:fldChar w:fldCharType="end"/>
            </w:r>
          </w:hyperlink>
        </w:p>
        <w:p w14:paraId="37FB0AE1" w14:textId="3825B21B" w:rsidR="006A6CFC" w:rsidRDefault="00000000">
          <w:pPr>
            <w:pStyle w:val="Spistreci2"/>
            <w:rPr>
              <w:rFonts w:eastAsiaTheme="minorEastAsia"/>
              <w:noProof/>
              <w:kern w:val="2"/>
              <w:lang w:eastAsia="pl-PL"/>
              <w14:ligatures w14:val="standardContextual"/>
            </w:rPr>
          </w:pPr>
          <w:hyperlink w:anchor="_Toc138329745" w:history="1">
            <w:r w:rsidR="006A6CFC" w:rsidRPr="00996A16">
              <w:rPr>
                <w:rStyle w:val="Hipercze"/>
                <w:rFonts w:ascii="Arial" w:hAnsi="Arial" w:cs="Arial"/>
                <w:noProof/>
              </w:rPr>
              <w:t>Ustawa z dnia 23 kwietnia 1964 r. – Kodeks cywilny</w:t>
            </w:r>
            <w:r w:rsidR="006A6CFC">
              <w:rPr>
                <w:noProof/>
                <w:webHidden/>
              </w:rPr>
              <w:tab/>
            </w:r>
            <w:r w:rsidR="006A6CFC">
              <w:rPr>
                <w:noProof/>
                <w:webHidden/>
              </w:rPr>
              <w:fldChar w:fldCharType="begin"/>
            </w:r>
            <w:r w:rsidR="006A6CFC">
              <w:rPr>
                <w:noProof/>
                <w:webHidden/>
              </w:rPr>
              <w:instrText xml:space="preserve"> PAGEREF _Toc138329745 \h </w:instrText>
            </w:r>
            <w:r w:rsidR="006A6CFC">
              <w:rPr>
                <w:noProof/>
                <w:webHidden/>
              </w:rPr>
            </w:r>
            <w:r w:rsidR="006A6CFC">
              <w:rPr>
                <w:noProof/>
                <w:webHidden/>
              </w:rPr>
              <w:fldChar w:fldCharType="separate"/>
            </w:r>
            <w:r w:rsidR="006A6CFC">
              <w:rPr>
                <w:noProof/>
                <w:webHidden/>
              </w:rPr>
              <w:t>20</w:t>
            </w:r>
            <w:r w:rsidR="006A6CFC">
              <w:rPr>
                <w:noProof/>
                <w:webHidden/>
              </w:rPr>
              <w:fldChar w:fldCharType="end"/>
            </w:r>
          </w:hyperlink>
        </w:p>
        <w:p w14:paraId="34DD22A5" w14:textId="0E276A18" w:rsidR="006A6CFC" w:rsidRDefault="00000000">
          <w:pPr>
            <w:pStyle w:val="Spistreci2"/>
            <w:rPr>
              <w:rFonts w:eastAsiaTheme="minorEastAsia"/>
              <w:noProof/>
              <w:kern w:val="2"/>
              <w:lang w:eastAsia="pl-PL"/>
              <w14:ligatures w14:val="standardContextual"/>
            </w:rPr>
          </w:pPr>
          <w:hyperlink w:anchor="_Toc138329746" w:history="1">
            <w:r w:rsidR="006A6CFC" w:rsidRPr="00996A16">
              <w:rPr>
                <w:rStyle w:val="Hipercze"/>
                <w:rFonts w:ascii="Arial" w:hAnsi="Arial" w:cs="Arial"/>
                <w:noProof/>
              </w:rPr>
              <w:t>Ustawa z dnia 17 listopada 1964 r. – Kodeks postępowania cywilnego</w:t>
            </w:r>
            <w:r w:rsidR="006A6CFC">
              <w:rPr>
                <w:noProof/>
                <w:webHidden/>
              </w:rPr>
              <w:tab/>
            </w:r>
            <w:r w:rsidR="006A6CFC">
              <w:rPr>
                <w:noProof/>
                <w:webHidden/>
              </w:rPr>
              <w:fldChar w:fldCharType="begin"/>
            </w:r>
            <w:r w:rsidR="006A6CFC">
              <w:rPr>
                <w:noProof/>
                <w:webHidden/>
              </w:rPr>
              <w:instrText xml:space="preserve"> PAGEREF _Toc138329746 \h </w:instrText>
            </w:r>
            <w:r w:rsidR="006A6CFC">
              <w:rPr>
                <w:noProof/>
                <w:webHidden/>
              </w:rPr>
            </w:r>
            <w:r w:rsidR="006A6CFC">
              <w:rPr>
                <w:noProof/>
                <w:webHidden/>
              </w:rPr>
              <w:fldChar w:fldCharType="separate"/>
            </w:r>
            <w:r w:rsidR="006A6CFC">
              <w:rPr>
                <w:noProof/>
                <w:webHidden/>
              </w:rPr>
              <w:t>22</w:t>
            </w:r>
            <w:r w:rsidR="006A6CFC">
              <w:rPr>
                <w:noProof/>
                <w:webHidden/>
              </w:rPr>
              <w:fldChar w:fldCharType="end"/>
            </w:r>
          </w:hyperlink>
        </w:p>
        <w:p w14:paraId="2286E3AB" w14:textId="09EC348C" w:rsidR="006A6CFC" w:rsidRDefault="00000000">
          <w:pPr>
            <w:pStyle w:val="Spistreci2"/>
            <w:rPr>
              <w:rFonts w:eastAsiaTheme="minorEastAsia"/>
              <w:noProof/>
              <w:kern w:val="2"/>
              <w:lang w:eastAsia="pl-PL"/>
              <w14:ligatures w14:val="standardContextual"/>
            </w:rPr>
          </w:pPr>
          <w:hyperlink w:anchor="_Toc138329747" w:history="1">
            <w:r w:rsidR="006A6CFC" w:rsidRPr="00996A16">
              <w:rPr>
                <w:rStyle w:val="Hipercze"/>
                <w:rFonts w:ascii="Arial" w:hAnsi="Arial" w:cs="Arial"/>
                <w:noProof/>
              </w:rPr>
              <w:t>Ustawa z dnia 9 kwietnia 1968 r. o dokonywaniu w księgach wieczystych wpisów na rzecz Skarbu Państwa w oparciu o międzynarodowe umowy o uregulowaniu roszczeń finansowych</w:t>
            </w:r>
            <w:r w:rsidR="006A6CFC">
              <w:rPr>
                <w:noProof/>
                <w:webHidden/>
              </w:rPr>
              <w:tab/>
            </w:r>
            <w:r w:rsidR="006A6CFC">
              <w:rPr>
                <w:noProof/>
                <w:webHidden/>
              </w:rPr>
              <w:fldChar w:fldCharType="begin"/>
            </w:r>
            <w:r w:rsidR="006A6CFC">
              <w:rPr>
                <w:noProof/>
                <w:webHidden/>
              </w:rPr>
              <w:instrText xml:space="preserve"> PAGEREF _Toc138329747 \h </w:instrText>
            </w:r>
            <w:r w:rsidR="006A6CFC">
              <w:rPr>
                <w:noProof/>
                <w:webHidden/>
              </w:rPr>
            </w:r>
            <w:r w:rsidR="006A6CFC">
              <w:rPr>
                <w:noProof/>
                <w:webHidden/>
              </w:rPr>
              <w:fldChar w:fldCharType="separate"/>
            </w:r>
            <w:r w:rsidR="006A6CFC">
              <w:rPr>
                <w:noProof/>
                <w:webHidden/>
              </w:rPr>
              <w:t>24</w:t>
            </w:r>
            <w:r w:rsidR="006A6CFC">
              <w:rPr>
                <w:noProof/>
                <w:webHidden/>
              </w:rPr>
              <w:fldChar w:fldCharType="end"/>
            </w:r>
          </w:hyperlink>
        </w:p>
        <w:p w14:paraId="2BD8D4CA" w14:textId="53B44560" w:rsidR="006A6CFC" w:rsidRDefault="00000000">
          <w:pPr>
            <w:pStyle w:val="Spistreci2"/>
            <w:rPr>
              <w:rFonts w:eastAsiaTheme="minorEastAsia"/>
              <w:noProof/>
              <w:kern w:val="2"/>
              <w:lang w:eastAsia="pl-PL"/>
              <w14:ligatures w14:val="standardContextual"/>
            </w:rPr>
          </w:pPr>
          <w:hyperlink w:anchor="_Toc138329748" w:history="1">
            <w:r w:rsidR="006A6CFC" w:rsidRPr="00996A16">
              <w:rPr>
                <w:rStyle w:val="Hipercze"/>
                <w:rFonts w:ascii="Arial" w:hAnsi="Arial" w:cs="Arial"/>
                <w:noProof/>
              </w:rPr>
              <w:t>Ustawa z dnia 6 lipca 1982 r. o księgach wieczystych i hipotece</w:t>
            </w:r>
            <w:r w:rsidR="006A6CFC">
              <w:rPr>
                <w:noProof/>
                <w:webHidden/>
              </w:rPr>
              <w:tab/>
            </w:r>
            <w:r w:rsidR="006A6CFC">
              <w:rPr>
                <w:noProof/>
                <w:webHidden/>
              </w:rPr>
              <w:fldChar w:fldCharType="begin"/>
            </w:r>
            <w:r w:rsidR="006A6CFC">
              <w:rPr>
                <w:noProof/>
                <w:webHidden/>
              </w:rPr>
              <w:instrText xml:space="preserve"> PAGEREF _Toc138329748 \h </w:instrText>
            </w:r>
            <w:r w:rsidR="006A6CFC">
              <w:rPr>
                <w:noProof/>
                <w:webHidden/>
              </w:rPr>
            </w:r>
            <w:r w:rsidR="006A6CFC">
              <w:rPr>
                <w:noProof/>
                <w:webHidden/>
              </w:rPr>
              <w:fldChar w:fldCharType="separate"/>
            </w:r>
            <w:r w:rsidR="006A6CFC">
              <w:rPr>
                <w:noProof/>
                <w:webHidden/>
              </w:rPr>
              <w:t>25</w:t>
            </w:r>
            <w:r w:rsidR="006A6CFC">
              <w:rPr>
                <w:noProof/>
                <w:webHidden/>
              </w:rPr>
              <w:fldChar w:fldCharType="end"/>
            </w:r>
          </w:hyperlink>
        </w:p>
        <w:p w14:paraId="38680FAB" w14:textId="339CC871" w:rsidR="006A6CFC" w:rsidRDefault="00000000">
          <w:pPr>
            <w:pStyle w:val="Spistreci2"/>
            <w:rPr>
              <w:rFonts w:eastAsiaTheme="minorEastAsia"/>
              <w:noProof/>
              <w:kern w:val="2"/>
              <w:lang w:eastAsia="pl-PL"/>
              <w14:ligatures w14:val="standardContextual"/>
            </w:rPr>
          </w:pPr>
          <w:hyperlink w:anchor="_Toc138329749" w:history="1">
            <w:r w:rsidR="006A6CFC" w:rsidRPr="00996A16">
              <w:rPr>
                <w:rStyle w:val="Hipercze"/>
                <w:rFonts w:ascii="Arial" w:hAnsi="Arial" w:cs="Arial"/>
                <w:noProof/>
              </w:rPr>
              <w:t>Ustawa z dnia 26 października 1982 r. o wychowaniu w trzeźwości i przeciwdziałaniu alkoholizmowi</w:t>
            </w:r>
            <w:r w:rsidR="006A6CFC">
              <w:rPr>
                <w:noProof/>
                <w:webHidden/>
              </w:rPr>
              <w:tab/>
            </w:r>
            <w:r w:rsidR="006A6CFC">
              <w:rPr>
                <w:noProof/>
                <w:webHidden/>
              </w:rPr>
              <w:fldChar w:fldCharType="begin"/>
            </w:r>
            <w:r w:rsidR="006A6CFC">
              <w:rPr>
                <w:noProof/>
                <w:webHidden/>
              </w:rPr>
              <w:instrText xml:space="preserve"> PAGEREF _Toc138329749 \h </w:instrText>
            </w:r>
            <w:r w:rsidR="006A6CFC">
              <w:rPr>
                <w:noProof/>
                <w:webHidden/>
              </w:rPr>
            </w:r>
            <w:r w:rsidR="006A6CFC">
              <w:rPr>
                <w:noProof/>
                <w:webHidden/>
              </w:rPr>
              <w:fldChar w:fldCharType="separate"/>
            </w:r>
            <w:r w:rsidR="006A6CFC">
              <w:rPr>
                <w:noProof/>
                <w:webHidden/>
              </w:rPr>
              <w:t>26</w:t>
            </w:r>
            <w:r w:rsidR="006A6CFC">
              <w:rPr>
                <w:noProof/>
                <w:webHidden/>
              </w:rPr>
              <w:fldChar w:fldCharType="end"/>
            </w:r>
          </w:hyperlink>
        </w:p>
        <w:p w14:paraId="0B2DD523" w14:textId="38B66235" w:rsidR="006A6CFC" w:rsidRDefault="00000000">
          <w:pPr>
            <w:pStyle w:val="Spistreci2"/>
            <w:rPr>
              <w:rFonts w:eastAsiaTheme="minorEastAsia"/>
              <w:noProof/>
              <w:kern w:val="2"/>
              <w:lang w:eastAsia="pl-PL"/>
              <w14:ligatures w14:val="standardContextual"/>
            </w:rPr>
          </w:pPr>
          <w:hyperlink w:anchor="_Toc138329750" w:history="1">
            <w:r w:rsidR="006A6CFC" w:rsidRPr="00996A16">
              <w:rPr>
                <w:rStyle w:val="Hipercze"/>
                <w:rFonts w:ascii="Arial" w:hAnsi="Arial" w:cs="Arial"/>
                <w:noProof/>
              </w:rPr>
              <w:t>Ustawa z dnia 15 listopada 1984 r. o podatku rolnym</w:t>
            </w:r>
            <w:r w:rsidR="006A6CFC">
              <w:rPr>
                <w:noProof/>
                <w:webHidden/>
              </w:rPr>
              <w:tab/>
            </w:r>
            <w:r w:rsidR="006A6CFC">
              <w:rPr>
                <w:noProof/>
                <w:webHidden/>
              </w:rPr>
              <w:fldChar w:fldCharType="begin"/>
            </w:r>
            <w:r w:rsidR="006A6CFC">
              <w:rPr>
                <w:noProof/>
                <w:webHidden/>
              </w:rPr>
              <w:instrText xml:space="preserve"> PAGEREF _Toc138329750 \h </w:instrText>
            </w:r>
            <w:r w:rsidR="006A6CFC">
              <w:rPr>
                <w:noProof/>
                <w:webHidden/>
              </w:rPr>
            </w:r>
            <w:r w:rsidR="006A6CFC">
              <w:rPr>
                <w:noProof/>
                <w:webHidden/>
              </w:rPr>
              <w:fldChar w:fldCharType="separate"/>
            </w:r>
            <w:r w:rsidR="006A6CFC">
              <w:rPr>
                <w:noProof/>
                <w:webHidden/>
              </w:rPr>
              <w:t>30</w:t>
            </w:r>
            <w:r w:rsidR="006A6CFC">
              <w:rPr>
                <w:noProof/>
                <w:webHidden/>
              </w:rPr>
              <w:fldChar w:fldCharType="end"/>
            </w:r>
          </w:hyperlink>
        </w:p>
        <w:p w14:paraId="78565429" w14:textId="5BC83750" w:rsidR="006A6CFC" w:rsidRDefault="00000000">
          <w:pPr>
            <w:pStyle w:val="Spistreci2"/>
            <w:rPr>
              <w:rFonts w:eastAsiaTheme="minorEastAsia"/>
              <w:noProof/>
              <w:kern w:val="2"/>
              <w:lang w:eastAsia="pl-PL"/>
              <w14:ligatures w14:val="standardContextual"/>
            </w:rPr>
          </w:pPr>
          <w:hyperlink w:anchor="_Toc138329751" w:history="1">
            <w:r w:rsidR="006A6CFC" w:rsidRPr="00996A16">
              <w:rPr>
                <w:rStyle w:val="Hipercze"/>
                <w:rFonts w:ascii="Arial" w:hAnsi="Arial" w:cs="Arial"/>
                <w:noProof/>
              </w:rPr>
              <w:t>Ustawa z dnia 22 marca 1989 r. o rzemiośle</w:t>
            </w:r>
            <w:r w:rsidR="006A6CFC">
              <w:rPr>
                <w:noProof/>
                <w:webHidden/>
              </w:rPr>
              <w:tab/>
            </w:r>
            <w:r w:rsidR="006A6CFC">
              <w:rPr>
                <w:noProof/>
                <w:webHidden/>
              </w:rPr>
              <w:fldChar w:fldCharType="begin"/>
            </w:r>
            <w:r w:rsidR="006A6CFC">
              <w:rPr>
                <w:noProof/>
                <w:webHidden/>
              </w:rPr>
              <w:instrText xml:space="preserve"> PAGEREF _Toc138329751 \h </w:instrText>
            </w:r>
            <w:r w:rsidR="006A6CFC">
              <w:rPr>
                <w:noProof/>
                <w:webHidden/>
              </w:rPr>
            </w:r>
            <w:r w:rsidR="006A6CFC">
              <w:rPr>
                <w:noProof/>
                <w:webHidden/>
              </w:rPr>
              <w:fldChar w:fldCharType="separate"/>
            </w:r>
            <w:r w:rsidR="006A6CFC">
              <w:rPr>
                <w:noProof/>
                <w:webHidden/>
              </w:rPr>
              <w:t>30</w:t>
            </w:r>
            <w:r w:rsidR="006A6CFC">
              <w:rPr>
                <w:noProof/>
                <w:webHidden/>
              </w:rPr>
              <w:fldChar w:fldCharType="end"/>
            </w:r>
          </w:hyperlink>
        </w:p>
        <w:p w14:paraId="22E7AECB" w14:textId="4CDBA62D" w:rsidR="006A6CFC" w:rsidRDefault="00000000">
          <w:pPr>
            <w:pStyle w:val="Spistreci2"/>
            <w:rPr>
              <w:rFonts w:eastAsiaTheme="minorEastAsia"/>
              <w:noProof/>
              <w:kern w:val="2"/>
              <w:lang w:eastAsia="pl-PL"/>
              <w14:ligatures w14:val="standardContextual"/>
            </w:rPr>
          </w:pPr>
          <w:hyperlink w:anchor="_Toc138329752" w:history="1">
            <w:r w:rsidR="006A6CFC" w:rsidRPr="00996A16">
              <w:rPr>
                <w:rStyle w:val="Hipercze"/>
                <w:rFonts w:ascii="Arial" w:hAnsi="Arial" w:cs="Arial"/>
                <w:noProof/>
              </w:rPr>
              <w:t>Ustawa z dnia 12 października 1990 r. o Straży Granicznej</w:t>
            </w:r>
            <w:r w:rsidR="006A6CFC">
              <w:rPr>
                <w:noProof/>
                <w:webHidden/>
              </w:rPr>
              <w:tab/>
            </w:r>
            <w:r w:rsidR="006A6CFC">
              <w:rPr>
                <w:noProof/>
                <w:webHidden/>
              </w:rPr>
              <w:fldChar w:fldCharType="begin"/>
            </w:r>
            <w:r w:rsidR="006A6CFC">
              <w:rPr>
                <w:noProof/>
                <w:webHidden/>
              </w:rPr>
              <w:instrText xml:space="preserve"> PAGEREF _Toc138329752 \h </w:instrText>
            </w:r>
            <w:r w:rsidR="006A6CFC">
              <w:rPr>
                <w:noProof/>
                <w:webHidden/>
              </w:rPr>
            </w:r>
            <w:r w:rsidR="006A6CFC">
              <w:rPr>
                <w:noProof/>
                <w:webHidden/>
              </w:rPr>
              <w:fldChar w:fldCharType="separate"/>
            </w:r>
            <w:r w:rsidR="006A6CFC">
              <w:rPr>
                <w:noProof/>
                <w:webHidden/>
              </w:rPr>
              <w:t>34</w:t>
            </w:r>
            <w:r w:rsidR="006A6CFC">
              <w:rPr>
                <w:noProof/>
                <w:webHidden/>
              </w:rPr>
              <w:fldChar w:fldCharType="end"/>
            </w:r>
          </w:hyperlink>
        </w:p>
        <w:p w14:paraId="2D296C00" w14:textId="6545CB21" w:rsidR="006A6CFC" w:rsidRDefault="00000000">
          <w:pPr>
            <w:pStyle w:val="Spistreci2"/>
            <w:rPr>
              <w:rFonts w:eastAsiaTheme="minorEastAsia"/>
              <w:noProof/>
              <w:kern w:val="2"/>
              <w:lang w:eastAsia="pl-PL"/>
              <w14:ligatures w14:val="standardContextual"/>
            </w:rPr>
          </w:pPr>
          <w:hyperlink w:anchor="_Toc138329753" w:history="1">
            <w:r w:rsidR="006A6CFC" w:rsidRPr="00996A16">
              <w:rPr>
                <w:rStyle w:val="Hipercze"/>
                <w:rFonts w:ascii="Arial" w:hAnsi="Arial" w:cs="Arial"/>
                <w:noProof/>
              </w:rPr>
              <w:t>Ustawa z dnia 16 kwietnia 1993 r. o zwalczaniu nieuczciwej konkurencji</w:t>
            </w:r>
            <w:r w:rsidR="006A6CFC">
              <w:rPr>
                <w:noProof/>
                <w:webHidden/>
              </w:rPr>
              <w:tab/>
            </w:r>
            <w:r w:rsidR="006A6CFC">
              <w:rPr>
                <w:noProof/>
                <w:webHidden/>
              </w:rPr>
              <w:fldChar w:fldCharType="begin"/>
            </w:r>
            <w:r w:rsidR="006A6CFC">
              <w:rPr>
                <w:noProof/>
                <w:webHidden/>
              </w:rPr>
              <w:instrText xml:space="preserve"> PAGEREF _Toc138329753 \h </w:instrText>
            </w:r>
            <w:r w:rsidR="006A6CFC">
              <w:rPr>
                <w:noProof/>
                <w:webHidden/>
              </w:rPr>
            </w:r>
            <w:r w:rsidR="006A6CFC">
              <w:rPr>
                <w:noProof/>
                <w:webHidden/>
              </w:rPr>
              <w:fldChar w:fldCharType="separate"/>
            </w:r>
            <w:r w:rsidR="006A6CFC">
              <w:rPr>
                <w:noProof/>
                <w:webHidden/>
              </w:rPr>
              <w:t>34</w:t>
            </w:r>
            <w:r w:rsidR="006A6CFC">
              <w:rPr>
                <w:noProof/>
                <w:webHidden/>
              </w:rPr>
              <w:fldChar w:fldCharType="end"/>
            </w:r>
          </w:hyperlink>
        </w:p>
        <w:p w14:paraId="29211611" w14:textId="1781891B" w:rsidR="006A6CFC" w:rsidRDefault="00000000">
          <w:pPr>
            <w:pStyle w:val="Spistreci2"/>
            <w:rPr>
              <w:rFonts w:eastAsiaTheme="minorEastAsia"/>
              <w:noProof/>
              <w:kern w:val="2"/>
              <w:lang w:eastAsia="pl-PL"/>
              <w14:ligatures w14:val="standardContextual"/>
            </w:rPr>
          </w:pPr>
          <w:hyperlink w:anchor="_Toc138329754" w:history="1">
            <w:r w:rsidR="006A6CFC" w:rsidRPr="00996A16">
              <w:rPr>
                <w:rStyle w:val="Hipercze"/>
                <w:rFonts w:ascii="Arial" w:hAnsi="Arial" w:cs="Arial"/>
                <w:noProof/>
              </w:rPr>
              <w:t>Ustawa z dnia 7 lipca 1994 r. – Prawo budowlane</w:t>
            </w:r>
            <w:r w:rsidR="006A6CFC">
              <w:rPr>
                <w:noProof/>
                <w:webHidden/>
              </w:rPr>
              <w:tab/>
            </w:r>
            <w:r w:rsidR="006A6CFC">
              <w:rPr>
                <w:noProof/>
                <w:webHidden/>
              </w:rPr>
              <w:fldChar w:fldCharType="begin"/>
            </w:r>
            <w:r w:rsidR="006A6CFC">
              <w:rPr>
                <w:noProof/>
                <w:webHidden/>
              </w:rPr>
              <w:instrText xml:space="preserve"> PAGEREF _Toc138329754 \h </w:instrText>
            </w:r>
            <w:r w:rsidR="006A6CFC">
              <w:rPr>
                <w:noProof/>
                <w:webHidden/>
              </w:rPr>
            </w:r>
            <w:r w:rsidR="006A6CFC">
              <w:rPr>
                <w:noProof/>
                <w:webHidden/>
              </w:rPr>
              <w:fldChar w:fldCharType="separate"/>
            </w:r>
            <w:r w:rsidR="006A6CFC">
              <w:rPr>
                <w:noProof/>
                <w:webHidden/>
              </w:rPr>
              <w:t>36</w:t>
            </w:r>
            <w:r w:rsidR="006A6CFC">
              <w:rPr>
                <w:noProof/>
                <w:webHidden/>
              </w:rPr>
              <w:fldChar w:fldCharType="end"/>
            </w:r>
          </w:hyperlink>
        </w:p>
        <w:p w14:paraId="75584A63" w14:textId="7165F8FC" w:rsidR="006A6CFC" w:rsidRDefault="00000000">
          <w:pPr>
            <w:pStyle w:val="Spistreci2"/>
            <w:rPr>
              <w:rFonts w:eastAsiaTheme="minorEastAsia"/>
              <w:noProof/>
              <w:kern w:val="2"/>
              <w:lang w:eastAsia="pl-PL"/>
              <w14:ligatures w14:val="standardContextual"/>
            </w:rPr>
          </w:pPr>
          <w:hyperlink w:anchor="_Toc138329755" w:history="1">
            <w:r w:rsidR="006A6CFC" w:rsidRPr="00996A16">
              <w:rPr>
                <w:rStyle w:val="Hipercze"/>
                <w:rFonts w:ascii="Arial" w:hAnsi="Arial" w:cs="Arial"/>
                <w:noProof/>
              </w:rPr>
              <w:t>Ustawa z dnia 13 października 1995 r. o zasadach ewidencji i identyfikacji podatników i płatników</w:t>
            </w:r>
            <w:r w:rsidR="006A6CFC">
              <w:rPr>
                <w:noProof/>
                <w:webHidden/>
              </w:rPr>
              <w:tab/>
            </w:r>
            <w:r w:rsidR="006A6CFC">
              <w:rPr>
                <w:noProof/>
                <w:webHidden/>
              </w:rPr>
              <w:fldChar w:fldCharType="begin"/>
            </w:r>
            <w:r w:rsidR="006A6CFC">
              <w:rPr>
                <w:noProof/>
                <w:webHidden/>
              </w:rPr>
              <w:instrText xml:space="preserve"> PAGEREF _Toc138329755 \h </w:instrText>
            </w:r>
            <w:r w:rsidR="006A6CFC">
              <w:rPr>
                <w:noProof/>
                <w:webHidden/>
              </w:rPr>
            </w:r>
            <w:r w:rsidR="006A6CFC">
              <w:rPr>
                <w:noProof/>
                <w:webHidden/>
              </w:rPr>
              <w:fldChar w:fldCharType="separate"/>
            </w:r>
            <w:r w:rsidR="006A6CFC">
              <w:rPr>
                <w:noProof/>
                <w:webHidden/>
              </w:rPr>
              <w:t>37</w:t>
            </w:r>
            <w:r w:rsidR="006A6CFC">
              <w:rPr>
                <w:noProof/>
                <w:webHidden/>
              </w:rPr>
              <w:fldChar w:fldCharType="end"/>
            </w:r>
          </w:hyperlink>
        </w:p>
        <w:p w14:paraId="572AAB5A" w14:textId="2721AA4A" w:rsidR="006A6CFC" w:rsidRDefault="00000000">
          <w:pPr>
            <w:pStyle w:val="Spistreci2"/>
            <w:rPr>
              <w:rFonts w:eastAsiaTheme="minorEastAsia"/>
              <w:noProof/>
              <w:kern w:val="2"/>
              <w:lang w:eastAsia="pl-PL"/>
              <w14:ligatures w14:val="standardContextual"/>
            </w:rPr>
          </w:pPr>
          <w:hyperlink w:anchor="_Toc138329756" w:history="1">
            <w:r w:rsidR="006A6CFC" w:rsidRPr="00996A16">
              <w:rPr>
                <w:rStyle w:val="Hipercze"/>
                <w:rFonts w:ascii="Arial" w:hAnsi="Arial" w:cs="Arial"/>
                <w:noProof/>
              </w:rPr>
              <w:t>Ustawa z dnia 9 listopada 1995 r. o ochronie zdrowia przed następstwami używania tytoniu i wyrobów tytoniowych</w:t>
            </w:r>
            <w:r w:rsidR="006A6CFC">
              <w:rPr>
                <w:noProof/>
                <w:webHidden/>
              </w:rPr>
              <w:tab/>
            </w:r>
            <w:r w:rsidR="006A6CFC">
              <w:rPr>
                <w:noProof/>
                <w:webHidden/>
              </w:rPr>
              <w:fldChar w:fldCharType="begin"/>
            </w:r>
            <w:r w:rsidR="006A6CFC">
              <w:rPr>
                <w:noProof/>
                <w:webHidden/>
              </w:rPr>
              <w:instrText xml:space="preserve"> PAGEREF _Toc138329756 \h </w:instrText>
            </w:r>
            <w:r w:rsidR="006A6CFC">
              <w:rPr>
                <w:noProof/>
                <w:webHidden/>
              </w:rPr>
            </w:r>
            <w:r w:rsidR="006A6CFC">
              <w:rPr>
                <w:noProof/>
                <w:webHidden/>
              </w:rPr>
              <w:fldChar w:fldCharType="separate"/>
            </w:r>
            <w:r w:rsidR="006A6CFC">
              <w:rPr>
                <w:noProof/>
                <w:webHidden/>
              </w:rPr>
              <w:t>38</w:t>
            </w:r>
            <w:r w:rsidR="006A6CFC">
              <w:rPr>
                <w:noProof/>
                <w:webHidden/>
              </w:rPr>
              <w:fldChar w:fldCharType="end"/>
            </w:r>
          </w:hyperlink>
        </w:p>
        <w:p w14:paraId="1AFC9169" w14:textId="3F920B3D" w:rsidR="006A6CFC" w:rsidRDefault="00000000">
          <w:pPr>
            <w:pStyle w:val="Spistreci2"/>
            <w:rPr>
              <w:rFonts w:eastAsiaTheme="minorEastAsia"/>
              <w:noProof/>
              <w:kern w:val="2"/>
              <w:lang w:eastAsia="pl-PL"/>
              <w14:ligatures w14:val="standardContextual"/>
            </w:rPr>
          </w:pPr>
          <w:hyperlink w:anchor="_Toc138329757" w:history="1">
            <w:r w:rsidR="006A6CFC" w:rsidRPr="00996A16">
              <w:rPr>
                <w:rStyle w:val="Hipercze"/>
                <w:rFonts w:ascii="Arial" w:hAnsi="Arial" w:cs="Arial"/>
                <w:noProof/>
              </w:rPr>
              <w:t>Ustawa z dnia 5 grudnia 1996 r. o zawodach lekarza i lekarza dentysty</w:t>
            </w:r>
            <w:r w:rsidR="006A6CFC">
              <w:rPr>
                <w:noProof/>
                <w:webHidden/>
              </w:rPr>
              <w:tab/>
            </w:r>
            <w:r w:rsidR="006A6CFC">
              <w:rPr>
                <w:noProof/>
                <w:webHidden/>
              </w:rPr>
              <w:fldChar w:fldCharType="begin"/>
            </w:r>
            <w:r w:rsidR="006A6CFC">
              <w:rPr>
                <w:noProof/>
                <w:webHidden/>
              </w:rPr>
              <w:instrText xml:space="preserve"> PAGEREF _Toc138329757 \h </w:instrText>
            </w:r>
            <w:r w:rsidR="006A6CFC">
              <w:rPr>
                <w:noProof/>
                <w:webHidden/>
              </w:rPr>
            </w:r>
            <w:r w:rsidR="006A6CFC">
              <w:rPr>
                <w:noProof/>
                <w:webHidden/>
              </w:rPr>
              <w:fldChar w:fldCharType="separate"/>
            </w:r>
            <w:r w:rsidR="006A6CFC">
              <w:rPr>
                <w:noProof/>
                <w:webHidden/>
              </w:rPr>
              <w:t>38</w:t>
            </w:r>
            <w:r w:rsidR="006A6CFC">
              <w:rPr>
                <w:noProof/>
                <w:webHidden/>
              </w:rPr>
              <w:fldChar w:fldCharType="end"/>
            </w:r>
          </w:hyperlink>
        </w:p>
        <w:p w14:paraId="66632A55" w14:textId="540F035E" w:rsidR="006A6CFC" w:rsidRDefault="00000000">
          <w:pPr>
            <w:pStyle w:val="Spistreci2"/>
            <w:rPr>
              <w:rFonts w:eastAsiaTheme="minorEastAsia"/>
              <w:noProof/>
              <w:kern w:val="2"/>
              <w:lang w:eastAsia="pl-PL"/>
              <w14:ligatures w14:val="standardContextual"/>
            </w:rPr>
          </w:pPr>
          <w:hyperlink w:anchor="_Toc138329758" w:history="1">
            <w:r w:rsidR="006A6CFC" w:rsidRPr="00996A16">
              <w:rPr>
                <w:rStyle w:val="Hipercze"/>
                <w:rFonts w:ascii="Arial" w:hAnsi="Arial" w:cs="Arial"/>
                <w:noProof/>
              </w:rPr>
              <w:t>Ustawa z dnia 20 sierpnia 1997 r. o Krajowym Rejestrze Sądowym</w:t>
            </w:r>
            <w:r w:rsidR="006A6CFC">
              <w:rPr>
                <w:noProof/>
                <w:webHidden/>
              </w:rPr>
              <w:tab/>
            </w:r>
            <w:r w:rsidR="006A6CFC">
              <w:rPr>
                <w:noProof/>
                <w:webHidden/>
              </w:rPr>
              <w:fldChar w:fldCharType="begin"/>
            </w:r>
            <w:r w:rsidR="006A6CFC">
              <w:rPr>
                <w:noProof/>
                <w:webHidden/>
              </w:rPr>
              <w:instrText xml:space="preserve"> PAGEREF _Toc138329758 \h </w:instrText>
            </w:r>
            <w:r w:rsidR="006A6CFC">
              <w:rPr>
                <w:noProof/>
                <w:webHidden/>
              </w:rPr>
            </w:r>
            <w:r w:rsidR="006A6CFC">
              <w:rPr>
                <w:noProof/>
                <w:webHidden/>
              </w:rPr>
              <w:fldChar w:fldCharType="separate"/>
            </w:r>
            <w:r w:rsidR="006A6CFC">
              <w:rPr>
                <w:noProof/>
                <w:webHidden/>
              </w:rPr>
              <w:t>39</w:t>
            </w:r>
            <w:r w:rsidR="006A6CFC">
              <w:rPr>
                <w:noProof/>
                <w:webHidden/>
              </w:rPr>
              <w:fldChar w:fldCharType="end"/>
            </w:r>
          </w:hyperlink>
        </w:p>
        <w:p w14:paraId="055BD9C5" w14:textId="10895CFA" w:rsidR="006A6CFC" w:rsidRDefault="00000000">
          <w:pPr>
            <w:pStyle w:val="Spistreci2"/>
            <w:rPr>
              <w:rFonts w:eastAsiaTheme="minorEastAsia"/>
              <w:noProof/>
              <w:kern w:val="2"/>
              <w:lang w:eastAsia="pl-PL"/>
              <w14:ligatures w14:val="standardContextual"/>
            </w:rPr>
          </w:pPr>
          <w:hyperlink w:anchor="_Toc138329759" w:history="1">
            <w:r w:rsidR="006A6CFC" w:rsidRPr="00996A16">
              <w:rPr>
                <w:rStyle w:val="Hipercze"/>
                <w:rFonts w:ascii="Arial" w:hAnsi="Arial" w:cs="Arial"/>
                <w:noProof/>
              </w:rPr>
              <w:t>Ustawa z dnia 21 sierpnia 1997 r. o gospodarce nieruchomościami</w:t>
            </w:r>
            <w:r w:rsidR="006A6CFC">
              <w:rPr>
                <w:noProof/>
                <w:webHidden/>
              </w:rPr>
              <w:tab/>
            </w:r>
            <w:r w:rsidR="006A6CFC">
              <w:rPr>
                <w:noProof/>
                <w:webHidden/>
              </w:rPr>
              <w:fldChar w:fldCharType="begin"/>
            </w:r>
            <w:r w:rsidR="006A6CFC">
              <w:rPr>
                <w:noProof/>
                <w:webHidden/>
              </w:rPr>
              <w:instrText xml:space="preserve"> PAGEREF _Toc138329759 \h </w:instrText>
            </w:r>
            <w:r w:rsidR="006A6CFC">
              <w:rPr>
                <w:noProof/>
                <w:webHidden/>
              </w:rPr>
            </w:r>
            <w:r w:rsidR="006A6CFC">
              <w:rPr>
                <w:noProof/>
                <w:webHidden/>
              </w:rPr>
              <w:fldChar w:fldCharType="separate"/>
            </w:r>
            <w:r w:rsidR="006A6CFC">
              <w:rPr>
                <w:noProof/>
                <w:webHidden/>
              </w:rPr>
              <w:t>40</w:t>
            </w:r>
            <w:r w:rsidR="006A6CFC">
              <w:rPr>
                <w:noProof/>
                <w:webHidden/>
              </w:rPr>
              <w:fldChar w:fldCharType="end"/>
            </w:r>
          </w:hyperlink>
        </w:p>
        <w:p w14:paraId="2FBE1AB5" w14:textId="12F741C7" w:rsidR="006A6CFC" w:rsidRDefault="00000000">
          <w:pPr>
            <w:pStyle w:val="Spistreci2"/>
            <w:rPr>
              <w:rFonts w:eastAsiaTheme="minorEastAsia"/>
              <w:noProof/>
              <w:kern w:val="2"/>
              <w:lang w:eastAsia="pl-PL"/>
              <w14:ligatures w14:val="standardContextual"/>
            </w:rPr>
          </w:pPr>
          <w:hyperlink w:anchor="_Toc138329760" w:history="1">
            <w:r w:rsidR="006A6CFC" w:rsidRPr="00996A16">
              <w:rPr>
                <w:rStyle w:val="Hipercze"/>
                <w:rFonts w:ascii="Arial" w:hAnsi="Arial" w:cs="Arial"/>
                <w:noProof/>
              </w:rPr>
              <w:t>Ustawa z dnia 29 sierpnia 1997 r. – Ordynacja podatkowa</w:t>
            </w:r>
            <w:r w:rsidR="006A6CFC">
              <w:rPr>
                <w:noProof/>
                <w:webHidden/>
              </w:rPr>
              <w:tab/>
            </w:r>
            <w:r w:rsidR="006A6CFC">
              <w:rPr>
                <w:noProof/>
                <w:webHidden/>
              </w:rPr>
              <w:fldChar w:fldCharType="begin"/>
            </w:r>
            <w:r w:rsidR="006A6CFC">
              <w:rPr>
                <w:noProof/>
                <w:webHidden/>
              </w:rPr>
              <w:instrText xml:space="preserve"> PAGEREF _Toc138329760 \h </w:instrText>
            </w:r>
            <w:r w:rsidR="006A6CFC">
              <w:rPr>
                <w:noProof/>
                <w:webHidden/>
              </w:rPr>
            </w:r>
            <w:r w:rsidR="006A6CFC">
              <w:rPr>
                <w:noProof/>
                <w:webHidden/>
              </w:rPr>
              <w:fldChar w:fldCharType="separate"/>
            </w:r>
            <w:r w:rsidR="006A6CFC">
              <w:rPr>
                <w:noProof/>
                <w:webHidden/>
              </w:rPr>
              <w:t>40</w:t>
            </w:r>
            <w:r w:rsidR="006A6CFC">
              <w:rPr>
                <w:noProof/>
                <w:webHidden/>
              </w:rPr>
              <w:fldChar w:fldCharType="end"/>
            </w:r>
          </w:hyperlink>
        </w:p>
        <w:p w14:paraId="2B1357D0" w14:textId="7236AEA3" w:rsidR="006A6CFC" w:rsidRDefault="00000000">
          <w:pPr>
            <w:pStyle w:val="Spistreci2"/>
            <w:rPr>
              <w:rFonts w:eastAsiaTheme="minorEastAsia"/>
              <w:noProof/>
              <w:kern w:val="2"/>
              <w:lang w:eastAsia="pl-PL"/>
              <w14:ligatures w14:val="standardContextual"/>
            </w:rPr>
          </w:pPr>
          <w:hyperlink w:anchor="_Toc138329761" w:history="1">
            <w:r w:rsidR="006A6CFC" w:rsidRPr="00996A16">
              <w:rPr>
                <w:rStyle w:val="Hipercze"/>
                <w:rFonts w:ascii="Arial" w:hAnsi="Arial" w:cs="Arial"/>
                <w:noProof/>
              </w:rPr>
              <w:t>Ustawa z dnia 29 sierpnia 1997 r. – Prawo bankowe</w:t>
            </w:r>
            <w:r w:rsidR="006A6CFC">
              <w:rPr>
                <w:noProof/>
                <w:webHidden/>
              </w:rPr>
              <w:tab/>
            </w:r>
            <w:r w:rsidR="006A6CFC">
              <w:rPr>
                <w:noProof/>
                <w:webHidden/>
              </w:rPr>
              <w:fldChar w:fldCharType="begin"/>
            </w:r>
            <w:r w:rsidR="006A6CFC">
              <w:rPr>
                <w:noProof/>
                <w:webHidden/>
              </w:rPr>
              <w:instrText xml:space="preserve"> PAGEREF _Toc138329761 \h </w:instrText>
            </w:r>
            <w:r w:rsidR="006A6CFC">
              <w:rPr>
                <w:noProof/>
                <w:webHidden/>
              </w:rPr>
            </w:r>
            <w:r w:rsidR="006A6CFC">
              <w:rPr>
                <w:noProof/>
                <w:webHidden/>
              </w:rPr>
              <w:fldChar w:fldCharType="separate"/>
            </w:r>
            <w:r w:rsidR="006A6CFC">
              <w:rPr>
                <w:noProof/>
                <w:webHidden/>
              </w:rPr>
              <w:t>42</w:t>
            </w:r>
            <w:r w:rsidR="006A6CFC">
              <w:rPr>
                <w:noProof/>
                <w:webHidden/>
              </w:rPr>
              <w:fldChar w:fldCharType="end"/>
            </w:r>
          </w:hyperlink>
        </w:p>
        <w:p w14:paraId="201C9A09" w14:textId="45483A0C" w:rsidR="006A6CFC" w:rsidRDefault="00000000">
          <w:pPr>
            <w:pStyle w:val="Spistreci2"/>
            <w:rPr>
              <w:rFonts w:eastAsiaTheme="minorEastAsia"/>
              <w:noProof/>
              <w:kern w:val="2"/>
              <w:lang w:eastAsia="pl-PL"/>
              <w14:ligatures w14:val="standardContextual"/>
            </w:rPr>
          </w:pPr>
          <w:hyperlink w:anchor="_Toc138329762" w:history="1">
            <w:r w:rsidR="006A6CFC" w:rsidRPr="00996A16">
              <w:rPr>
                <w:rStyle w:val="Hipercze"/>
                <w:rFonts w:ascii="Arial" w:hAnsi="Arial" w:cs="Arial"/>
                <w:noProof/>
              </w:rPr>
              <w:t>Ustawa z dnia 13 października 1998 r. o systemie ubezpieczeń społecznych</w:t>
            </w:r>
            <w:r w:rsidR="006A6CFC">
              <w:rPr>
                <w:noProof/>
                <w:webHidden/>
              </w:rPr>
              <w:tab/>
            </w:r>
            <w:r w:rsidR="006A6CFC">
              <w:rPr>
                <w:noProof/>
                <w:webHidden/>
              </w:rPr>
              <w:fldChar w:fldCharType="begin"/>
            </w:r>
            <w:r w:rsidR="006A6CFC">
              <w:rPr>
                <w:noProof/>
                <w:webHidden/>
              </w:rPr>
              <w:instrText xml:space="preserve"> PAGEREF _Toc138329762 \h </w:instrText>
            </w:r>
            <w:r w:rsidR="006A6CFC">
              <w:rPr>
                <w:noProof/>
                <w:webHidden/>
              </w:rPr>
            </w:r>
            <w:r w:rsidR="006A6CFC">
              <w:rPr>
                <w:noProof/>
                <w:webHidden/>
              </w:rPr>
              <w:fldChar w:fldCharType="separate"/>
            </w:r>
            <w:r w:rsidR="006A6CFC">
              <w:rPr>
                <w:noProof/>
                <w:webHidden/>
              </w:rPr>
              <w:t>44</w:t>
            </w:r>
            <w:r w:rsidR="006A6CFC">
              <w:rPr>
                <w:noProof/>
                <w:webHidden/>
              </w:rPr>
              <w:fldChar w:fldCharType="end"/>
            </w:r>
          </w:hyperlink>
        </w:p>
        <w:p w14:paraId="044E0C16" w14:textId="5FDE1C04" w:rsidR="006A6CFC" w:rsidRDefault="00000000">
          <w:pPr>
            <w:pStyle w:val="Spistreci2"/>
            <w:rPr>
              <w:rFonts w:eastAsiaTheme="minorEastAsia"/>
              <w:noProof/>
              <w:kern w:val="2"/>
              <w:lang w:eastAsia="pl-PL"/>
              <w14:ligatures w14:val="standardContextual"/>
            </w:rPr>
          </w:pPr>
          <w:hyperlink w:anchor="_Toc138329763" w:history="1">
            <w:r w:rsidR="006A6CFC" w:rsidRPr="00996A16">
              <w:rPr>
                <w:rStyle w:val="Hipercze"/>
                <w:rFonts w:ascii="Arial" w:hAnsi="Arial" w:cs="Arial"/>
                <w:noProof/>
              </w:rPr>
              <w:t>Ustawa z dnia 17 grudnia 1998 r. o emeryturach i rentach z Funduszu Ubezpieczeń Społecznych</w:t>
            </w:r>
            <w:r w:rsidR="006A6CFC">
              <w:rPr>
                <w:noProof/>
                <w:webHidden/>
              </w:rPr>
              <w:tab/>
            </w:r>
            <w:r w:rsidR="006A6CFC">
              <w:rPr>
                <w:noProof/>
                <w:webHidden/>
              </w:rPr>
              <w:fldChar w:fldCharType="begin"/>
            </w:r>
            <w:r w:rsidR="006A6CFC">
              <w:rPr>
                <w:noProof/>
                <w:webHidden/>
              </w:rPr>
              <w:instrText xml:space="preserve"> PAGEREF _Toc138329763 \h </w:instrText>
            </w:r>
            <w:r w:rsidR="006A6CFC">
              <w:rPr>
                <w:noProof/>
                <w:webHidden/>
              </w:rPr>
            </w:r>
            <w:r w:rsidR="006A6CFC">
              <w:rPr>
                <w:noProof/>
                <w:webHidden/>
              </w:rPr>
              <w:fldChar w:fldCharType="separate"/>
            </w:r>
            <w:r w:rsidR="006A6CFC">
              <w:rPr>
                <w:noProof/>
                <w:webHidden/>
              </w:rPr>
              <w:t>44</w:t>
            </w:r>
            <w:r w:rsidR="006A6CFC">
              <w:rPr>
                <w:noProof/>
                <w:webHidden/>
              </w:rPr>
              <w:fldChar w:fldCharType="end"/>
            </w:r>
          </w:hyperlink>
        </w:p>
        <w:p w14:paraId="4132600A" w14:textId="23848132" w:rsidR="006A6CFC" w:rsidRDefault="00000000">
          <w:pPr>
            <w:pStyle w:val="Spistreci2"/>
            <w:rPr>
              <w:rFonts w:eastAsiaTheme="minorEastAsia"/>
              <w:noProof/>
              <w:kern w:val="2"/>
              <w:lang w:eastAsia="pl-PL"/>
              <w14:ligatures w14:val="standardContextual"/>
            </w:rPr>
          </w:pPr>
          <w:hyperlink w:anchor="_Toc138329764" w:history="1">
            <w:r w:rsidR="006A6CFC" w:rsidRPr="00996A16">
              <w:rPr>
                <w:rStyle w:val="Hipercze"/>
                <w:rFonts w:ascii="Arial" w:hAnsi="Arial" w:cs="Arial"/>
                <w:noProof/>
              </w:rPr>
              <w:t>Ustawa z dnia 15 września 2000 r. – Kodeks spółek handlowych</w:t>
            </w:r>
            <w:r w:rsidR="006A6CFC">
              <w:rPr>
                <w:noProof/>
                <w:webHidden/>
              </w:rPr>
              <w:tab/>
            </w:r>
            <w:r w:rsidR="006A6CFC">
              <w:rPr>
                <w:noProof/>
                <w:webHidden/>
              </w:rPr>
              <w:fldChar w:fldCharType="begin"/>
            </w:r>
            <w:r w:rsidR="006A6CFC">
              <w:rPr>
                <w:noProof/>
                <w:webHidden/>
              </w:rPr>
              <w:instrText xml:space="preserve"> PAGEREF _Toc138329764 \h </w:instrText>
            </w:r>
            <w:r w:rsidR="006A6CFC">
              <w:rPr>
                <w:noProof/>
                <w:webHidden/>
              </w:rPr>
            </w:r>
            <w:r w:rsidR="006A6CFC">
              <w:rPr>
                <w:noProof/>
                <w:webHidden/>
              </w:rPr>
              <w:fldChar w:fldCharType="separate"/>
            </w:r>
            <w:r w:rsidR="006A6CFC">
              <w:rPr>
                <w:noProof/>
                <w:webHidden/>
              </w:rPr>
              <w:t>45</w:t>
            </w:r>
            <w:r w:rsidR="006A6CFC">
              <w:rPr>
                <w:noProof/>
                <w:webHidden/>
              </w:rPr>
              <w:fldChar w:fldCharType="end"/>
            </w:r>
          </w:hyperlink>
        </w:p>
        <w:p w14:paraId="449B3460" w14:textId="49F703B4" w:rsidR="006A6CFC" w:rsidRDefault="00000000">
          <w:pPr>
            <w:pStyle w:val="Spistreci2"/>
            <w:rPr>
              <w:rFonts w:eastAsiaTheme="minorEastAsia"/>
              <w:noProof/>
              <w:kern w:val="2"/>
              <w:lang w:eastAsia="pl-PL"/>
              <w14:ligatures w14:val="standardContextual"/>
            </w:rPr>
          </w:pPr>
          <w:hyperlink w:anchor="_Toc138329765" w:history="1">
            <w:r w:rsidR="006A6CFC" w:rsidRPr="00996A16">
              <w:rPr>
                <w:rStyle w:val="Hipercze"/>
                <w:rFonts w:ascii="Arial" w:hAnsi="Arial" w:cs="Arial"/>
                <w:noProof/>
              </w:rPr>
              <w:t>Ustawa z dnia 29 listopada 2000 r. o obrocie z zagranicą towarami, technologiami i usługami o znaczeniu strategicznym dla bezpieczeństwa państwa, a także dla utrzymania międzynarodowego pokoju i bezpieczeństwa</w:t>
            </w:r>
            <w:r w:rsidR="006A6CFC">
              <w:rPr>
                <w:noProof/>
                <w:webHidden/>
              </w:rPr>
              <w:tab/>
            </w:r>
            <w:r w:rsidR="006A6CFC">
              <w:rPr>
                <w:noProof/>
                <w:webHidden/>
              </w:rPr>
              <w:fldChar w:fldCharType="begin"/>
            </w:r>
            <w:r w:rsidR="006A6CFC">
              <w:rPr>
                <w:noProof/>
                <w:webHidden/>
              </w:rPr>
              <w:instrText xml:space="preserve"> PAGEREF _Toc138329765 \h </w:instrText>
            </w:r>
            <w:r w:rsidR="006A6CFC">
              <w:rPr>
                <w:noProof/>
                <w:webHidden/>
              </w:rPr>
            </w:r>
            <w:r w:rsidR="006A6CFC">
              <w:rPr>
                <w:noProof/>
                <w:webHidden/>
              </w:rPr>
              <w:fldChar w:fldCharType="separate"/>
            </w:r>
            <w:r w:rsidR="006A6CFC">
              <w:rPr>
                <w:noProof/>
                <w:webHidden/>
              </w:rPr>
              <w:t>50</w:t>
            </w:r>
            <w:r w:rsidR="006A6CFC">
              <w:rPr>
                <w:noProof/>
                <w:webHidden/>
              </w:rPr>
              <w:fldChar w:fldCharType="end"/>
            </w:r>
          </w:hyperlink>
        </w:p>
        <w:p w14:paraId="1135316D" w14:textId="791C5B76" w:rsidR="006A6CFC" w:rsidRDefault="00000000">
          <w:pPr>
            <w:pStyle w:val="Spistreci2"/>
            <w:rPr>
              <w:rFonts w:eastAsiaTheme="minorEastAsia"/>
              <w:noProof/>
              <w:kern w:val="2"/>
              <w:lang w:eastAsia="pl-PL"/>
              <w14:ligatures w14:val="standardContextual"/>
            </w:rPr>
          </w:pPr>
          <w:hyperlink w:anchor="_Toc138329766" w:history="1">
            <w:r w:rsidR="006A6CFC" w:rsidRPr="00996A16">
              <w:rPr>
                <w:rStyle w:val="Hipercze"/>
                <w:rFonts w:ascii="Arial" w:hAnsi="Arial" w:cs="Arial"/>
                <w:noProof/>
              </w:rPr>
              <w:t>Ustawa z dnia 2 marca 2001 r. o wyrobie alkoholu etylowego oraz wytwarzaniu wyrobów tytoniowych</w:t>
            </w:r>
            <w:r w:rsidR="006A6CFC">
              <w:rPr>
                <w:noProof/>
                <w:webHidden/>
              </w:rPr>
              <w:tab/>
            </w:r>
            <w:r w:rsidR="006A6CFC">
              <w:rPr>
                <w:noProof/>
                <w:webHidden/>
              </w:rPr>
              <w:fldChar w:fldCharType="begin"/>
            </w:r>
            <w:r w:rsidR="006A6CFC">
              <w:rPr>
                <w:noProof/>
                <w:webHidden/>
              </w:rPr>
              <w:instrText xml:space="preserve"> PAGEREF _Toc138329766 \h </w:instrText>
            </w:r>
            <w:r w:rsidR="006A6CFC">
              <w:rPr>
                <w:noProof/>
                <w:webHidden/>
              </w:rPr>
            </w:r>
            <w:r w:rsidR="006A6CFC">
              <w:rPr>
                <w:noProof/>
                <w:webHidden/>
              </w:rPr>
              <w:fldChar w:fldCharType="separate"/>
            </w:r>
            <w:r w:rsidR="006A6CFC">
              <w:rPr>
                <w:noProof/>
                <w:webHidden/>
              </w:rPr>
              <w:t>54</w:t>
            </w:r>
            <w:r w:rsidR="006A6CFC">
              <w:rPr>
                <w:noProof/>
                <w:webHidden/>
              </w:rPr>
              <w:fldChar w:fldCharType="end"/>
            </w:r>
          </w:hyperlink>
        </w:p>
        <w:p w14:paraId="40B5E150" w14:textId="5A028A28" w:rsidR="006A6CFC" w:rsidRDefault="00000000">
          <w:pPr>
            <w:pStyle w:val="Spistreci2"/>
            <w:rPr>
              <w:rFonts w:eastAsiaTheme="minorEastAsia"/>
              <w:noProof/>
              <w:kern w:val="2"/>
              <w:lang w:eastAsia="pl-PL"/>
              <w14:ligatures w14:val="standardContextual"/>
            </w:rPr>
          </w:pPr>
          <w:hyperlink w:anchor="_Toc138329767" w:history="1">
            <w:r w:rsidR="006A6CFC" w:rsidRPr="00996A16">
              <w:rPr>
                <w:rStyle w:val="Hipercze"/>
                <w:rFonts w:ascii="Arial" w:hAnsi="Arial" w:cs="Arial"/>
                <w:noProof/>
              </w:rPr>
              <w:t>Ustawa z dnia 6 września 2001 r. – Prawo farmaceutyczne</w:t>
            </w:r>
            <w:r w:rsidR="006A6CFC">
              <w:rPr>
                <w:noProof/>
                <w:webHidden/>
              </w:rPr>
              <w:tab/>
            </w:r>
            <w:r w:rsidR="006A6CFC">
              <w:rPr>
                <w:noProof/>
                <w:webHidden/>
              </w:rPr>
              <w:fldChar w:fldCharType="begin"/>
            </w:r>
            <w:r w:rsidR="006A6CFC">
              <w:rPr>
                <w:noProof/>
                <w:webHidden/>
              </w:rPr>
              <w:instrText xml:space="preserve"> PAGEREF _Toc138329767 \h </w:instrText>
            </w:r>
            <w:r w:rsidR="006A6CFC">
              <w:rPr>
                <w:noProof/>
                <w:webHidden/>
              </w:rPr>
            </w:r>
            <w:r w:rsidR="006A6CFC">
              <w:rPr>
                <w:noProof/>
                <w:webHidden/>
              </w:rPr>
              <w:fldChar w:fldCharType="separate"/>
            </w:r>
            <w:r w:rsidR="006A6CFC">
              <w:rPr>
                <w:noProof/>
                <w:webHidden/>
              </w:rPr>
              <w:t>54</w:t>
            </w:r>
            <w:r w:rsidR="006A6CFC">
              <w:rPr>
                <w:noProof/>
                <w:webHidden/>
              </w:rPr>
              <w:fldChar w:fldCharType="end"/>
            </w:r>
          </w:hyperlink>
        </w:p>
        <w:p w14:paraId="1C91952E" w14:textId="40EB23D8" w:rsidR="006A6CFC" w:rsidRDefault="00000000">
          <w:pPr>
            <w:pStyle w:val="Spistreci2"/>
            <w:rPr>
              <w:rFonts w:eastAsiaTheme="minorEastAsia"/>
              <w:noProof/>
              <w:kern w:val="2"/>
              <w:lang w:eastAsia="pl-PL"/>
              <w14:ligatures w14:val="standardContextual"/>
            </w:rPr>
          </w:pPr>
          <w:hyperlink w:anchor="_Toc138329768" w:history="1">
            <w:r w:rsidR="006A6CFC" w:rsidRPr="00996A16">
              <w:rPr>
                <w:rStyle w:val="Hipercze"/>
                <w:rFonts w:ascii="Arial" w:hAnsi="Arial" w:cs="Arial"/>
                <w:noProof/>
              </w:rPr>
              <w:t>Ustawa z dnia 3 lipca 2002 r. – Prawo lotnicze</w:t>
            </w:r>
            <w:r w:rsidR="006A6CFC">
              <w:rPr>
                <w:noProof/>
                <w:webHidden/>
              </w:rPr>
              <w:tab/>
            </w:r>
            <w:r w:rsidR="006A6CFC">
              <w:rPr>
                <w:noProof/>
                <w:webHidden/>
              </w:rPr>
              <w:fldChar w:fldCharType="begin"/>
            </w:r>
            <w:r w:rsidR="006A6CFC">
              <w:rPr>
                <w:noProof/>
                <w:webHidden/>
              </w:rPr>
              <w:instrText xml:space="preserve"> PAGEREF _Toc138329768 \h </w:instrText>
            </w:r>
            <w:r w:rsidR="006A6CFC">
              <w:rPr>
                <w:noProof/>
                <w:webHidden/>
              </w:rPr>
            </w:r>
            <w:r w:rsidR="006A6CFC">
              <w:rPr>
                <w:noProof/>
                <w:webHidden/>
              </w:rPr>
              <w:fldChar w:fldCharType="separate"/>
            </w:r>
            <w:r w:rsidR="006A6CFC">
              <w:rPr>
                <w:noProof/>
                <w:webHidden/>
              </w:rPr>
              <w:t>55</w:t>
            </w:r>
            <w:r w:rsidR="006A6CFC">
              <w:rPr>
                <w:noProof/>
                <w:webHidden/>
              </w:rPr>
              <w:fldChar w:fldCharType="end"/>
            </w:r>
          </w:hyperlink>
        </w:p>
        <w:p w14:paraId="1814B465" w14:textId="7D5D3CBB" w:rsidR="006A6CFC" w:rsidRDefault="00000000">
          <w:pPr>
            <w:pStyle w:val="Spistreci2"/>
            <w:rPr>
              <w:rFonts w:eastAsiaTheme="minorEastAsia"/>
              <w:noProof/>
              <w:kern w:val="2"/>
              <w:lang w:eastAsia="pl-PL"/>
              <w14:ligatures w14:val="standardContextual"/>
            </w:rPr>
          </w:pPr>
          <w:hyperlink w:anchor="_Toc138329769" w:history="1">
            <w:r w:rsidR="006A6CFC" w:rsidRPr="00996A16">
              <w:rPr>
                <w:rStyle w:val="Hipercze"/>
                <w:rFonts w:ascii="Arial" w:hAnsi="Arial" w:cs="Arial"/>
                <w:noProof/>
              </w:rPr>
              <w:t>Ustawa z dnia 30 sierpnia 2002 r. – Prawo o postępowaniu przed sądami administracyjnymi</w:t>
            </w:r>
            <w:r w:rsidR="006A6CFC">
              <w:rPr>
                <w:noProof/>
                <w:webHidden/>
              </w:rPr>
              <w:tab/>
            </w:r>
            <w:r w:rsidR="006A6CFC">
              <w:rPr>
                <w:noProof/>
                <w:webHidden/>
              </w:rPr>
              <w:fldChar w:fldCharType="begin"/>
            </w:r>
            <w:r w:rsidR="006A6CFC">
              <w:rPr>
                <w:noProof/>
                <w:webHidden/>
              </w:rPr>
              <w:instrText xml:space="preserve"> PAGEREF _Toc138329769 \h </w:instrText>
            </w:r>
            <w:r w:rsidR="006A6CFC">
              <w:rPr>
                <w:noProof/>
                <w:webHidden/>
              </w:rPr>
            </w:r>
            <w:r w:rsidR="006A6CFC">
              <w:rPr>
                <w:noProof/>
                <w:webHidden/>
              </w:rPr>
              <w:fldChar w:fldCharType="separate"/>
            </w:r>
            <w:r w:rsidR="006A6CFC">
              <w:rPr>
                <w:noProof/>
                <w:webHidden/>
              </w:rPr>
              <w:t>56</w:t>
            </w:r>
            <w:r w:rsidR="006A6CFC">
              <w:rPr>
                <w:noProof/>
                <w:webHidden/>
              </w:rPr>
              <w:fldChar w:fldCharType="end"/>
            </w:r>
          </w:hyperlink>
        </w:p>
        <w:p w14:paraId="6D594062" w14:textId="6FD4B362" w:rsidR="006A6CFC" w:rsidRDefault="00000000">
          <w:pPr>
            <w:pStyle w:val="Spistreci2"/>
            <w:rPr>
              <w:rFonts w:eastAsiaTheme="minorEastAsia"/>
              <w:noProof/>
              <w:kern w:val="2"/>
              <w:lang w:eastAsia="pl-PL"/>
              <w14:ligatures w14:val="standardContextual"/>
            </w:rPr>
          </w:pPr>
          <w:hyperlink w:anchor="_Toc138329770" w:history="1">
            <w:r w:rsidR="006A6CFC" w:rsidRPr="00996A16">
              <w:rPr>
                <w:rStyle w:val="Hipercze"/>
                <w:rFonts w:ascii="Arial" w:hAnsi="Arial" w:cs="Arial"/>
                <w:noProof/>
              </w:rPr>
              <w:t>Ustawa z dnia 22 maja 2003 r. o ubezpieczeniach obowiązkowych, Ubezpieczeniowym Funduszu Gwarancyjnym i Polskim Biurze Ubezpieczycieli Komunikacyjnych</w:t>
            </w:r>
            <w:r w:rsidR="006A6CFC">
              <w:rPr>
                <w:noProof/>
                <w:webHidden/>
              </w:rPr>
              <w:tab/>
            </w:r>
            <w:r w:rsidR="006A6CFC">
              <w:rPr>
                <w:noProof/>
                <w:webHidden/>
              </w:rPr>
              <w:fldChar w:fldCharType="begin"/>
            </w:r>
            <w:r w:rsidR="006A6CFC">
              <w:rPr>
                <w:noProof/>
                <w:webHidden/>
              </w:rPr>
              <w:instrText xml:space="preserve"> PAGEREF _Toc138329770 \h </w:instrText>
            </w:r>
            <w:r w:rsidR="006A6CFC">
              <w:rPr>
                <w:noProof/>
                <w:webHidden/>
              </w:rPr>
            </w:r>
            <w:r w:rsidR="006A6CFC">
              <w:rPr>
                <w:noProof/>
                <w:webHidden/>
              </w:rPr>
              <w:fldChar w:fldCharType="separate"/>
            </w:r>
            <w:r w:rsidR="006A6CFC">
              <w:rPr>
                <w:noProof/>
                <w:webHidden/>
              </w:rPr>
              <w:t>57</w:t>
            </w:r>
            <w:r w:rsidR="006A6CFC">
              <w:rPr>
                <w:noProof/>
                <w:webHidden/>
              </w:rPr>
              <w:fldChar w:fldCharType="end"/>
            </w:r>
          </w:hyperlink>
        </w:p>
        <w:p w14:paraId="1407EA90" w14:textId="45B98FE1" w:rsidR="006A6CFC" w:rsidRDefault="00000000">
          <w:pPr>
            <w:pStyle w:val="Spistreci2"/>
            <w:rPr>
              <w:rFonts w:eastAsiaTheme="minorEastAsia"/>
              <w:noProof/>
              <w:kern w:val="2"/>
              <w:lang w:eastAsia="pl-PL"/>
              <w14:ligatures w14:val="standardContextual"/>
            </w:rPr>
          </w:pPr>
          <w:hyperlink w:anchor="_Toc138329771" w:history="1">
            <w:r w:rsidR="006A6CFC" w:rsidRPr="00996A16">
              <w:rPr>
                <w:rStyle w:val="Hipercze"/>
                <w:rFonts w:ascii="Arial" w:hAnsi="Arial" w:cs="Arial"/>
                <w:noProof/>
              </w:rPr>
              <w:t>Ustawa z dnia 16 lipca 2004 r. – Prawo telekomunikacyjne</w:t>
            </w:r>
            <w:r w:rsidR="006A6CFC">
              <w:rPr>
                <w:noProof/>
                <w:webHidden/>
              </w:rPr>
              <w:tab/>
            </w:r>
            <w:r w:rsidR="006A6CFC">
              <w:rPr>
                <w:noProof/>
                <w:webHidden/>
              </w:rPr>
              <w:fldChar w:fldCharType="begin"/>
            </w:r>
            <w:r w:rsidR="006A6CFC">
              <w:rPr>
                <w:noProof/>
                <w:webHidden/>
              </w:rPr>
              <w:instrText xml:space="preserve"> PAGEREF _Toc138329771 \h </w:instrText>
            </w:r>
            <w:r w:rsidR="006A6CFC">
              <w:rPr>
                <w:noProof/>
                <w:webHidden/>
              </w:rPr>
            </w:r>
            <w:r w:rsidR="006A6CFC">
              <w:rPr>
                <w:noProof/>
                <w:webHidden/>
              </w:rPr>
              <w:fldChar w:fldCharType="separate"/>
            </w:r>
            <w:r w:rsidR="006A6CFC">
              <w:rPr>
                <w:noProof/>
                <w:webHidden/>
              </w:rPr>
              <w:t>57</w:t>
            </w:r>
            <w:r w:rsidR="006A6CFC">
              <w:rPr>
                <w:noProof/>
                <w:webHidden/>
              </w:rPr>
              <w:fldChar w:fldCharType="end"/>
            </w:r>
          </w:hyperlink>
        </w:p>
        <w:p w14:paraId="0EBE4CA4" w14:textId="0EBA6249" w:rsidR="006A6CFC" w:rsidRDefault="00000000">
          <w:pPr>
            <w:pStyle w:val="Spistreci2"/>
            <w:rPr>
              <w:rFonts w:eastAsiaTheme="minorEastAsia"/>
              <w:noProof/>
              <w:kern w:val="2"/>
              <w:lang w:eastAsia="pl-PL"/>
              <w14:ligatures w14:val="standardContextual"/>
            </w:rPr>
          </w:pPr>
          <w:hyperlink w:anchor="_Toc138329772" w:history="1">
            <w:r w:rsidR="006A6CFC" w:rsidRPr="00996A16">
              <w:rPr>
                <w:rStyle w:val="Hipercze"/>
                <w:rFonts w:ascii="Arial" w:hAnsi="Arial" w:cs="Arial"/>
                <w:noProof/>
              </w:rPr>
              <w:t>Ustawa z dnia 7 lipca 2005 r. o ubezpieczeniach upraw rolnych i zwierząt gospodarskich</w:t>
            </w:r>
            <w:r w:rsidR="006A6CFC">
              <w:rPr>
                <w:noProof/>
                <w:webHidden/>
              </w:rPr>
              <w:tab/>
            </w:r>
            <w:r w:rsidR="006A6CFC">
              <w:rPr>
                <w:noProof/>
                <w:webHidden/>
              </w:rPr>
              <w:fldChar w:fldCharType="begin"/>
            </w:r>
            <w:r w:rsidR="006A6CFC">
              <w:rPr>
                <w:noProof/>
                <w:webHidden/>
              </w:rPr>
              <w:instrText xml:space="preserve"> PAGEREF _Toc138329772 \h </w:instrText>
            </w:r>
            <w:r w:rsidR="006A6CFC">
              <w:rPr>
                <w:noProof/>
                <w:webHidden/>
              </w:rPr>
            </w:r>
            <w:r w:rsidR="006A6CFC">
              <w:rPr>
                <w:noProof/>
                <w:webHidden/>
              </w:rPr>
              <w:fldChar w:fldCharType="separate"/>
            </w:r>
            <w:r w:rsidR="006A6CFC">
              <w:rPr>
                <w:noProof/>
                <w:webHidden/>
              </w:rPr>
              <w:t>58</w:t>
            </w:r>
            <w:r w:rsidR="006A6CFC">
              <w:rPr>
                <w:noProof/>
                <w:webHidden/>
              </w:rPr>
              <w:fldChar w:fldCharType="end"/>
            </w:r>
          </w:hyperlink>
        </w:p>
        <w:p w14:paraId="358ED724" w14:textId="07903D06" w:rsidR="006A6CFC" w:rsidRDefault="00000000">
          <w:pPr>
            <w:pStyle w:val="Spistreci2"/>
            <w:rPr>
              <w:rFonts w:eastAsiaTheme="minorEastAsia"/>
              <w:noProof/>
              <w:kern w:val="2"/>
              <w:lang w:eastAsia="pl-PL"/>
              <w14:ligatures w14:val="standardContextual"/>
            </w:rPr>
          </w:pPr>
          <w:hyperlink w:anchor="_Toc138329773" w:history="1">
            <w:r w:rsidR="006A6CFC" w:rsidRPr="00996A16">
              <w:rPr>
                <w:rStyle w:val="Hipercze"/>
                <w:rFonts w:ascii="Arial" w:hAnsi="Arial" w:cs="Arial"/>
                <w:noProof/>
              </w:rPr>
              <w:t>Ustawa z dnia 28 lipca 2005 r. o kosztach sądowych w sprawach cywilnych</w:t>
            </w:r>
            <w:r w:rsidR="006A6CFC">
              <w:rPr>
                <w:noProof/>
                <w:webHidden/>
              </w:rPr>
              <w:tab/>
            </w:r>
            <w:r w:rsidR="006A6CFC">
              <w:rPr>
                <w:noProof/>
                <w:webHidden/>
              </w:rPr>
              <w:fldChar w:fldCharType="begin"/>
            </w:r>
            <w:r w:rsidR="006A6CFC">
              <w:rPr>
                <w:noProof/>
                <w:webHidden/>
              </w:rPr>
              <w:instrText xml:space="preserve"> PAGEREF _Toc138329773 \h </w:instrText>
            </w:r>
            <w:r w:rsidR="006A6CFC">
              <w:rPr>
                <w:noProof/>
                <w:webHidden/>
              </w:rPr>
            </w:r>
            <w:r w:rsidR="006A6CFC">
              <w:rPr>
                <w:noProof/>
                <w:webHidden/>
              </w:rPr>
              <w:fldChar w:fldCharType="separate"/>
            </w:r>
            <w:r w:rsidR="006A6CFC">
              <w:rPr>
                <w:noProof/>
                <w:webHidden/>
              </w:rPr>
              <w:t>58</w:t>
            </w:r>
            <w:r w:rsidR="006A6CFC">
              <w:rPr>
                <w:noProof/>
                <w:webHidden/>
              </w:rPr>
              <w:fldChar w:fldCharType="end"/>
            </w:r>
          </w:hyperlink>
        </w:p>
        <w:p w14:paraId="43E05652" w14:textId="14AD7D5A" w:rsidR="006A6CFC" w:rsidRDefault="00000000">
          <w:pPr>
            <w:pStyle w:val="Spistreci2"/>
            <w:rPr>
              <w:rFonts w:eastAsiaTheme="minorEastAsia"/>
              <w:noProof/>
              <w:kern w:val="2"/>
              <w:lang w:eastAsia="pl-PL"/>
              <w14:ligatures w14:val="standardContextual"/>
            </w:rPr>
          </w:pPr>
          <w:hyperlink w:anchor="_Toc138329774" w:history="1">
            <w:r w:rsidR="006A6CFC" w:rsidRPr="00996A16">
              <w:rPr>
                <w:rStyle w:val="Hipercze"/>
                <w:rFonts w:ascii="Arial" w:hAnsi="Arial" w:cs="Arial"/>
                <w:noProof/>
              </w:rPr>
              <w:t>Ustawa z dnia 18 października 2006 r. o wyrobie napojów spirytusowych oraz o rejestracji i ochronie oznaczeń geograficznych napojów spirytusowych</w:t>
            </w:r>
            <w:r w:rsidR="006A6CFC">
              <w:rPr>
                <w:noProof/>
                <w:webHidden/>
              </w:rPr>
              <w:tab/>
            </w:r>
            <w:r w:rsidR="006A6CFC">
              <w:rPr>
                <w:noProof/>
                <w:webHidden/>
              </w:rPr>
              <w:fldChar w:fldCharType="begin"/>
            </w:r>
            <w:r w:rsidR="006A6CFC">
              <w:rPr>
                <w:noProof/>
                <w:webHidden/>
              </w:rPr>
              <w:instrText xml:space="preserve"> PAGEREF _Toc138329774 \h </w:instrText>
            </w:r>
            <w:r w:rsidR="006A6CFC">
              <w:rPr>
                <w:noProof/>
                <w:webHidden/>
              </w:rPr>
            </w:r>
            <w:r w:rsidR="006A6CFC">
              <w:rPr>
                <w:noProof/>
                <w:webHidden/>
              </w:rPr>
              <w:fldChar w:fldCharType="separate"/>
            </w:r>
            <w:r w:rsidR="006A6CFC">
              <w:rPr>
                <w:noProof/>
                <w:webHidden/>
              </w:rPr>
              <w:t>59</w:t>
            </w:r>
            <w:r w:rsidR="006A6CFC">
              <w:rPr>
                <w:noProof/>
                <w:webHidden/>
              </w:rPr>
              <w:fldChar w:fldCharType="end"/>
            </w:r>
          </w:hyperlink>
        </w:p>
        <w:p w14:paraId="105C6441" w14:textId="0BEBC434" w:rsidR="006A6CFC" w:rsidRDefault="00000000">
          <w:pPr>
            <w:pStyle w:val="Spistreci2"/>
            <w:rPr>
              <w:rFonts w:eastAsiaTheme="minorEastAsia"/>
              <w:noProof/>
              <w:kern w:val="2"/>
              <w:lang w:eastAsia="pl-PL"/>
              <w14:ligatures w14:val="standardContextual"/>
            </w:rPr>
          </w:pPr>
          <w:hyperlink w:anchor="_Toc138329775" w:history="1">
            <w:r w:rsidR="006A6CFC" w:rsidRPr="00996A16">
              <w:rPr>
                <w:rStyle w:val="Hipercze"/>
                <w:rFonts w:ascii="Arial" w:hAnsi="Arial" w:cs="Arial"/>
                <w:noProof/>
              </w:rPr>
              <w:t>Ustawa z dnia 16 lutego 2007 r. o ochronie konkurencji i konsumentów</w:t>
            </w:r>
            <w:r w:rsidR="006A6CFC">
              <w:rPr>
                <w:noProof/>
                <w:webHidden/>
              </w:rPr>
              <w:tab/>
            </w:r>
            <w:r w:rsidR="006A6CFC">
              <w:rPr>
                <w:noProof/>
                <w:webHidden/>
              </w:rPr>
              <w:fldChar w:fldCharType="begin"/>
            </w:r>
            <w:r w:rsidR="006A6CFC">
              <w:rPr>
                <w:noProof/>
                <w:webHidden/>
              </w:rPr>
              <w:instrText xml:space="preserve"> PAGEREF _Toc138329775 \h </w:instrText>
            </w:r>
            <w:r w:rsidR="006A6CFC">
              <w:rPr>
                <w:noProof/>
                <w:webHidden/>
              </w:rPr>
            </w:r>
            <w:r w:rsidR="006A6CFC">
              <w:rPr>
                <w:noProof/>
                <w:webHidden/>
              </w:rPr>
              <w:fldChar w:fldCharType="separate"/>
            </w:r>
            <w:r w:rsidR="006A6CFC">
              <w:rPr>
                <w:noProof/>
                <w:webHidden/>
              </w:rPr>
              <w:t>59</w:t>
            </w:r>
            <w:r w:rsidR="006A6CFC">
              <w:rPr>
                <w:noProof/>
                <w:webHidden/>
              </w:rPr>
              <w:fldChar w:fldCharType="end"/>
            </w:r>
          </w:hyperlink>
        </w:p>
        <w:p w14:paraId="437ECAA2" w14:textId="66F8B462" w:rsidR="006A6CFC" w:rsidRDefault="00000000">
          <w:pPr>
            <w:pStyle w:val="Spistreci2"/>
            <w:rPr>
              <w:rFonts w:eastAsiaTheme="minorEastAsia"/>
              <w:noProof/>
              <w:kern w:val="2"/>
              <w:lang w:eastAsia="pl-PL"/>
              <w14:ligatures w14:val="standardContextual"/>
            </w:rPr>
          </w:pPr>
          <w:hyperlink w:anchor="_Toc138329776" w:history="1">
            <w:r w:rsidR="006A6CFC" w:rsidRPr="00996A16">
              <w:rPr>
                <w:rStyle w:val="Hipercze"/>
                <w:rFonts w:ascii="Arial" w:hAnsi="Arial" w:cs="Arial"/>
                <w:noProof/>
              </w:rPr>
              <w:t>Ustawa z dnia 21 listopada 2008 r. o wspieraniu termomodernizacji i remontów oraz o centralnej ewidencji emisyjności budynków</w:t>
            </w:r>
            <w:r w:rsidR="006A6CFC">
              <w:rPr>
                <w:noProof/>
                <w:webHidden/>
              </w:rPr>
              <w:tab/>
            </w:r>
            <w:r w:rsidR="006A6CFC">
              <w:rPr>
                <w:noProof/>
                <w:webHidden/>
              </w:rPr>
              <w:fldChar w:fldCharType="begin"/>
            </w:r>
            <w:r w:rsidR="006A6CFC">
              <w:rPr>
                <w:noProof/>
                <w:webHidden/>
              </w:rPr>
              <w:instrText xml:space="preserve"> PAGEREF _Toc138329776 \h </w:instrText>
            </w:r>
            <w:r w:rsidR="006A6CFC">
              <w:rPr>
                <w:noProof/>
                <w:webHidden/>
              </w:rPr>
            </w:r>
            <w:r w:rsidR="006A6CFC">
              <w:rPr>
                <w:noProof/>
                <w:webHidden/>
              </w:rPr>
              <w:fldChar w:fldCharType="separate"/>
            </w:r>
            <w:r w:rsidR="006A6CFC">
              <w:rPr>
                <w:noProof/>
                <w:webHidden/>
              </w:rPr>
              <w:t>66</w:t>
            </w:r>
            <w:r w:rsidR="006A6CFC">
              <w:rPr>
                <w:noProof/>
                <w:webHidden/>
              </w:rPr>
              <w:fldChar w:fldCharType="end"/>
            </w:r>
          </w:hyperlink>
        </w:p>
        <w:p w14:paraId="72308B74" w14:textId="405C561C" w:rsidR="006A6CFC" w:rsidRDefault="00000000">
          <w:pPr>
            <w:pStyle w:val="Spistreci2"/>
            <w:rPr>
              <w:rFonts w:eastAsiaTheme="minorEastAsia"/>
              <w:noProof/>
              <w:kern w:val="2"/>
              <w:lang w:eastAsia="pl-PL"/>
              <w14:ligatures w14:val="standardContextual"/>
            </w:rPr>
          </w:pPr>
          <w:hyperlink w:anchor="_Toc138329777" w:history="1">
            <w:r w:rsidR="006A6CFC" w:rsidRPr="00996A16">
              <w:rPr>
                <w:rStyle w:val="Hipercze"/>
                <w:rFonts w:ascii="Arial" w:hAnsi="Arial" w:cs="Arial"/>
                <w:noProof/>
              </w:rPr>
              <w:t>Ustawa 5 listopada 2009 r. o spółdzielczych kasach oszczędnościowo-kredytowych</w:t>
            </w:r>
            <w:r w:rsidR="006A6CFC">
              <w:rPr>
                <w:noProof/>
                <w:webHidden/>
              </w:rPr>
              <w:tab/>
            </w:r>
            <w:r w:rsidR="006A6CFC">
              <w:rPr>
                <w:noProof/>
                <w:webHidden/>
              </w:rPr>
              <w:fldChar w:fldCharType="begin"/>
            </w:r>
            <w:r w:rsidR="006A6CFC">
              <w:rPr>
                <w:noProof/>
                <w:webHidden/>
              </w:rPr>
              <w:instrText xml:space="preserve"> PAGEREF _Toc138329777 \h </w:instrText>
            </w:r>
            <w:r w:rsidR="006A6CFC">
              <w:rPr>
                <w:noProof/>
                <w:webHidden/>
              </w:rPr>
            </w:r>
            <w:r w:rsidR="006A6CFC">
              <w:rPr>
                <w:noProof/>
                <w:webHidden/>
              </w:rPr>
              <w:fldChar w:fldCharType="separate"/>
            </w:r>
            <w:r w:rsidR="006A6CFC">
              <w:rPr>
                <w:noProof/>
                <w:webHidden/>
              </w:rPr>
              <w:t>66</w:t>
            </w:r>
            <w:r w:rsidR="006A6CFC">
              <w:rPr>
                <w:noProof/>
                <w:webHidden/>
              </w:rPr>
              <w:fldChar w:fldCharType="end"/>
            </w:r>
          </w:hyperlink>
        </w:p>
        <w:p w14:paraId="4B62E2D7" w14:textId="7830C31F" w:rsidR="006A6CFC" w:rsidRDefault="00000000">
          <w:pPr>
            <w:pStyle w:val="Spistreci2"/>
            <w:rPr>
              <w:rFonts w:eastAsiaTheme="minorEastAsia"/>
              <w:noProof/>
              <w:kern w:val="2"/>
              <w:lang w:eastAsia="pl-PL"/>
              <w14:ligatures w14:val="standardContextual"/>
            </w:rPr>
          </w:pPr>
          <w:hyperlink w:anchor="_Toc138329778" w:history="1">
            <w:r w:rsidR="006A6CFC" w:rsidRPr="00996A16">
              <w:rPr>
                <w:rStyle w:val="Hipercze"/>
                <w:rFonts w:ascii="Arial" w:hAnsi="Arial" w:cs="Arial"/>
                <w:noProof/>
              </w:rPr>
              <w:t>Ustawa z dnia 5 stycznia 2011 r. o kierujących pojazdami</w:t>
            </w:r>
            <w:r w:rsidR="006A6CFC">
              <w:rPr>
                <w:noProof/>
                <w:webHidden/>
              </w:rPr>
              <w:tab/>
            </w:r>
            <w:r w:rsidR="006A6CFC">
              <w:rPr>
                <w:noProof/>
                <w:webHidden/>
              </w:rPr>
              <w:fldChar w:fldCharType="begin"/>
            </w:r>
            <w:r w:rsidR="006A6CFC">
              <w:rPr>
                <w:noProof/>
                <w:webHidden/>
              </w:rPr>
              <w:instrText xml:space="preserve"> PAGEREF _Toc138329778 \h </w:instrText>
            </w:r>
            <w:r w:rsidR="006A6CFC">
              <w:rPr>
                <w:noProof/>
                <w:webHidden/>
              </w:rPr>
            </w:r>
            <w:r w:rsidR="006A6CFC">
              <w:rPr>
                <w:noProof/>
                <w:webHidden/>
              </w:rPr>
              <w:fldChar w:fldCharType="separate"/>
            </w:r>
            <w:r w:rsidR="006A6CFC">
              <w:rPr>
                <w:noProof/>
                <w:webHidden/>
              </w:rPr>
              <w:t>67</w:t>
            </w:r>
            <w:r w:rsidR="006A6CFC">
              <w:rPr>
                <w:noProof/>
                <w:webHidden/>
              </w:rPr>
              <w:fldChar w:fldCharType="end"/>
            </w:r>
          </w:hyperlink>
        </w:p>
        <w:p w14:paraId="2BA53C21" w14:textId="3CDE8A93" w:rsidR="006A6CFC" w:rsidRDefault="00000000">
          <w:pPr>
            <w:pStyle w:val="Spistreci2"/>
            <w:rPr>
              <w:rFonts w:eastAsiaTheme="minorEastAsia"/>
              <w:noProof/>
              <w:kern w:val="2"/>
              <w:lang w:eastAsia="pl-PL"/>
              <w14:ligatures w14:val="standardContextual"/>
            </w:rPr>
          </w:pPr>
          <w:hyperlink w:anchor="_Toc138329779" w:history="1">
            <w:r w:rsidR="006A6CFC" w:rsidRPr="00996A16">
              <w:rPr>
                <w:rStyle w:val="Hipercze"/>
                <w:rFonts w:ascii="Arial" w:hAnsi="Arial" w:cs="Arial"/>
                <w:noProof/>
              </w:rPr>
              <w:t>Ustawa z dnia 25 lutego 2011 r. o substancjach chemicznych i ich mieszaninach</w:t>
            </w:r>
            <w:r w:rsidR="006A6CFC">
              <w:rPr>
                <w:noProof/>
                <w:webHidden/>
              </w:rPr>
              <w:tab/>
            </w:r>
            <w:r w:rsidR="006A6CFC">
              <w:rPr>
                <w:noProof/>
                <w:webHidden/>
              </w:rPr>
              <w:fldChar w:fldCharType="begin"/>
            </w:r>
            <w:r w:rsidR="006A6CFC">
              <w:rPr>
                <w:noProof/>
                <w:webHidden/>
              </w:rPr>
              <w:instrText xml:space="preserve"> PAGEREF _Toc138329779 \h </w:instrText>
            </w:r>
            <w:r w:rsidR="006A6CFC">
              <w:rPr>
                <w:noProof/>
                <w:webHidden/>
              </w:rPr>
            </w:r>
            <w:r w:rsidR="006A6CFC">
              <w:rPr>
                <w:noProof/>
                <w:webHidden/>
              </w:rPr>
              <w:fldChar w:fldCharType="separate"/>
            </w:r>
            <w:r w:rsidR="006A6CFC">
              <w:rPr>
                <w:noProof/>
                <w:webHidden/>
              </w:rPr>
              <w:t>67</w:t>
            </w:r>
            <w:r w:rsidR="006A6CFC">
              <w:rPr>
                <w:noProof/>
                <w:webHidden/>
              </w:rPr>
              <w:fldChar w:fldCharType="end"/>
            </w:r>
          </w:hyperlink>
        </w:p>
        <w:p w14:paraId="7D0098A6" w14:textId="46BF04F9" w:rsidR="006A6CFC" w:rsidRDefault="00000000">
          <w:pPr>
            <w:pStyle w:val="Spistreci2"/>
            <w:rPr>
              <w:rFonts w:eastAsiaTheme="minorEastAsia"/>
              <w:noProof/>
              <w:kern w:val="2"/>
              <w:lang w:eastAsia="pl-PL"/>
              <w14:ligatures w14:val="standardContextual"/>
            </w:rPr>
          </w:pPr>
          <w:hyperlink w:anchor="_Toc138329780" w:history="1">
            <w:r w:rsidR="006A6CFC" w:rsidRPr="00996A16">
              <w:rPr>
                <w:rStyle w:val="Hipercze"/>
                <w:rFonts w:ascii="Arial" w:hAnsi="Arial" w:cs="Arial"/>
                <w:noProof/>
              </w:rPr>
              <w:t>Ustawa z dnia 20 lutego 2015 r. o odnawialnych źródłach energii</w:t>
            </w:r>
            <w:r w:rsidR="006A6CFC">
              <w:rPr>
                <w:noProof/>
                <w:webHidden/>
              </w:rPr>
              <w:tab/>
            </w:r>
            <w:r w:rsidR="006A6CFC">
              <w:rPr>
                <w:noProof/>
                <w:webHidden/>
              </w:rPr>
              <w:fldChar w:fldCharType="begin"/>
            </w:r>
            <w:r w:rsidR="006A6CFC">
              <w:rPr>
                <w:noProof/>
                <w:webHidden/>
              </w:rPr>
              <w:instrText xml:space="preserve"> PAGEREF _Toc138329780 \h </w:instrText>
            </w:r>
            <w:r w:rsidR="006A6CFC">
              <w:rPr>
                <w:noProof/>
                <w:webHidden/>
              </w:rPr>
            </w:r>
            <w:r w:rsidR="006A6CFC">
              <w:rPr>
                <w:noProof/>
                <w:webHidden/>
              </w:rPr>
              <w:fldChar w:fldCharType="separate"/>
            </w:r>
            <w:r w:rsidR="006A6CFC">
              <w:rPr>
                <w:noProof/>
                <w:webHidden/>
              </w:rPr>
              <w:t>68</w:t>
            </w:r>
            <w:r w:rsidR="006A6CFC">
              <w:rPr>
                <w:noProof/>
                <w:webHidden/>
              </w:rPr>
              <w:fldChar w:fldCharType="end"/>
            </w:r>
          </w:hyperlink>
        </w:p>
        <w:p w14:paraId="1AED1044" w14:textId="1D4D5D9C" w:rsidR="006A6CFC" w:rsidRDefault="00000000">
          <w:pPr>
            <w:pStyle w:val="Spistreci2"/>
            <w:rPr>
              <w:rFonts w:eastAsiaTheme="minorEastAsia"/>
              <w:noProof/>
              <w:kern w:val="2"/>
              <w:lang w:eastAsia="pl-PL"/>
              <w14:ligatures w14:val="standardContextual"/>
            </w:rPr>
          </w:pPr>
          <w:hyperlink w:anchor="_Toc138329781" w:history="1">
            <w:r w:rsidR="006A6CFC" w:rsidRPr="00996A16">
              <w:rPr>
                <w:rStyle w:val="Hipercze"/>
                <w:rFonts w:ascii="Arial" w:hAnsi="Arial" w:cs="Arial"/>
                <w:noProof/>
              </w:rPr>
              <w:t>Ustawa z dnia 24 listopada 2017 r. o imprezach turystycznych i powiązanych usługach turystycznych</w:t>
            </w:r>
            <w:r w:rsidR="006A6CFC">
              <w:rPr>
                <w:noProof/>
                <w:webHidden/>
              </w:rPr>
              <w:tab/>
            </w:r>
            <w:r w:rsidR="006A6CFC">
              <w:rPr>
                <w:noProof/>
                <w:webHidden/>
              </w:rPr>
              <w:fldChar w:fldCharType="begin"/>
            </w:r>
            <w:r w:rsidR="006A6CFC">
              <w:rPr>
                <w:noProof/>
                <w:webHidden/>
              </w:rPr>
              <w:instrText xml:space="preserve"> PAGEREF _Toc138329781 \h </w:instrText>
            </w:r>
            <w:r w:rsidR="006A6CFC">
              <w:rPr>
                <w:noProof/>
                <w:webHidden/>
              </w:rPr>
            </w:r>
            <w:r w:rsidR="006A6CFC">
              <w:rPr>
                <w:noProof/>
                <w:webHidden/>
              </w:rPr>
              <w:fldChar w:fldCharType="separate"/>
            </w:r>
            <w:r w:rsidR="006A6CFC">
              <w:rPr>
                <w:noProof/>
                <w:webHidden/>
              </w:rPr>
              <w:t>68</w:t>
            </w:r>
            <w:r w:rsidR="006A6CFC">
              <w:rPr>
                <w:noProof/>
                <w:webHidden/>
              </w:rPr>
              <w:fldChar w:fldCharType="end"/>
            </w:r>
          </w:hyperlink>
        </w:p>
        <w:p w14:paraId="1395D334" w14:textId="208369E0" w:rsidR="006A6CFC" w:rsidRDefault="00000000">
          <w:pPr>
            <w:pStyle w:val="Spistreci2"/>
            <w:rPr>
              <w:rFonts w:eastAsiaTheme="minorEastAsia"/>
              <w:noProof/>
              <w:kern w:val="2"/>
              <w:lang w:eastAsia="pl-PL"/>
              <w14:ligatures w14:val="standardContextual"/>
            </w:rPr>
          </w:pPr>
          <w:hyperlink w:anchor="_Toc138329782" w:history="1">
            <w:r w:rsidR="006A6CFC" w:rsidRPr="00996A16">
              <w:rPr>
                <w:rStyle w:val="Hipercze"/>
                <w:rFonts w:ascii="Arial" w:hAnsi="Arial" w:cs="Arial"/>
                <w:noProof/>
              </w:rPr>
              <w:t>Ustawa z dnia 1 marca 2018 r. o przeciwdziałaniu praniu pieniędzy oraz finansowaniu terroryzmu</w:t>
            </w:r>
            <w:r w:rsidR="006A6CFC">
              <w:rPr>
                <w:noProof/>
                <w:webHidden/>
              </w:rPr>
              <w:tab/>
            </w:r>
            <w:r w:rsidR="006A6CFC">
              <w:rPr>
                <w:noProof/>
                <w:webHidden/>
              </w:rPr>
              <w:fldChar w:fldCharType="begin"/>
            </w:r>
            <w:r w:rsidR="006A6CFC">
              <w:rPr>
                <w:noProof/>
                <w:webHidden/>
              </w:rPr>
              <w:instrText xml:space="preserve"> PAGEREF _Toc138329782 \h </w:instrText>
            </w:r>
            <w:r w:rsidR="006A6CFC">
              <w:rPr>
                <w:noProof/>
                <w:webHidden/>
              </w:rPr>
            </w:r>
            <w:r w:rsidR="006A6CFC">
              <w:rPr>
                <w:noProof/>
                <w:webHidden/>
              </w:rPr>
              <w:fldChar w:fldCharType="separate"/>
            </w:r>
            <w:r w:rsidR="006A6CFC">
              <w:rPr>
                <w:noProof/>
                <w:webHidden/>
              </w:rPr>
              <w:t>69</w:t>
            </w:r>
            <w:r w:rsidR="006A6CFC">
              <w:rPr>
                <w:noProof/>
                <w:webHidden/>
              </w:rPr>
              <w:fldChar w:fldCharType="end"/>
            </w:r>
          </w:hyperlink>
        </w:p>
        <w:p w14:paraId="75D424D7" w14:textId="049592DE" w:rsidR="006A6CFC" w:rsidRDefault="00000000">
          <w:pPr>
            <w:pStyle w:val="Spistreci2"/>
            <w:rPr>
              <w:rFonts w:eastAsiaTheme="minorEastAsia"/>
              <w:noProof/>
              <w:kern w:val="2"/>
              <w:lang w:eastAsia="pl-PL"/>
              <w14:ligatures w14:val="standardContextual"/>
            </w:rPr>
          </w:pPr>
          <w:hyperlink w:anchor="_Toc138329783" w:history="1">
            <w:r w:rsidR="006A6CFC" w:rsidRPr="00996A16">
              <w:rPr>
                <w:rStyle w:val="Hipercze"/>
                <w:rFonts w:ascii="Arial" w:hAnsi="Arial" w:cs="Arial"/>
                <w:noProof/>
              </w:rPr>
              <w:t>Ustawa z dnia 6 marca 2018 r. o Centralnej Ewidencji i Informacji Działalności Gospodarczej i Punkcie Informacji dla Przedsiębiorcy</w:t>
            </w:r>
            <w:r w:rsidR="006A6CFC">
              <w:rPr>
                <w:noProof/>
                <w:webHidden/>
              </w:rPr>
              <w:tab/>
            </w:r>
            <w:r w:rsidR="006A6CFC">
              <w:rPr>
                <w:noProof/>
                <w:webHidden/>
              </w:rPr>
              <w:fldChar w:fldCharType="begin"/>
            </w:r>
            <w:r w:rsidR="006A6CFC">
              <w:rPr>
                <w:noProof/>
                <w:webHidden/>
              </w:rPr>
              <w:instrText xml:space="preserve"> PAGEREF _Toc138329783 \h </w:instrText>
            </w:r>
            <w:r w:rsidR="006A6CFC">
              <w:rPr>
                <w:noProof/>
                <w:webHidden/>
              </w:rPr>
            </w:r>
            <w:r w:rsidR="006A6CFC">
              <w:rPr>
                <w:noProof/>
                <w:webHidden/>
              </w:rPr>
              <w:fldChar w:fldCharType="separate"/>
            </w:r>
            <w:r w:rsidR="006A6CFC">
              <w:rPr>
                <w:noProof/>
                <w:webHidden/>
              </w:rPr>
              <w:t>70</w:t>
            </w:r>
            <w:r w:rsidR="006A6CFC">
              <w:rPr>
                <w:noProof/>
                <w:webHidden/>
              </w:rPr>
              <w:fldChar w:fldCharType="end"/>
            </w:r>
          </w:hyperlink>
        </w:p>
        <w:p w14:paraId="669639B9" w14:textId="4B57E987" w:rsidR="006A6CFC" w:rsidRDefault="00000000">
          <w:pPr>
            <w:pStyle w:val="Spistreci2"/>
            <w:rPr>
              <w:rFonts w:eastAsiaTheme="minorEastAsia"/>
              <w:noProof/>
              <w:kern w:val="2"/>
              <w:lang w:eastAsia="pl-PL"/>
              <w14:ligatures w14:val="standardContextual"/>
            </w:rPr>
          </w:pPr>
          <w:hyperlink w:anchor="_Toc138329784" w:history="1">
            <w:r w:rsidR="006A6CFC" w:rsidRPr="00996A16">
              <w:rPr>
                <w:rStyle w:val="Hipercze"/>
                <w:rFonts w:ascii="Arial" w:hAnsi="Arial" w:cs="Arial"/>
                <w:noProof/>
              </w:rPr>
              <w:t>Ustawa z dnia 6 marca 2018 r. – Prawo przedsiębiorców</w:t>
            </w:r>
            <w:r w:rsidR="006A6CFC">
              <w:rPr>
                <w:noProof/>
                <w:webHidden/>
              </w:rPr>
              <w:tab/>
            </w:r>
            <w:r w:rsidR="006A6CFC">
              <w:rPr>
                <w:noProof/>
                <w:webHidden/>
              </w:rPr>
              <w:fldChar w:fldCharType="begin"/>
            </w:r>
            <w:r w:rsidR="006A6CFC">
              <w:rPr>
                <w:noProof/>
                <w:webHidden/>
              </w:rPr>
              <w:instrText xml:space="preserve"> PAGEREF _Toc138329784 \h </w:instrText>
            </w:r>
            <w:r w:rsidR="006A6CFC">
              <w:rPr>
                <w:noProof/>
                <w:webHidden/>
              </w:rPr>
            </w:r>
            <w:r w:rsidR="006A6CFC">
              <w:rPr>
                <w:noProof/>
                <w:webHidden/>
              </w:rPr>
              <w:fldChar w:fldCharType="separate"/>
            </w:r>
            <w:r w:rsidR="006A6CFC">
              <w:rPr>
                <w:noProof/>
                <w:webHidden/>
              </w:rPr>
              <w:t>71</w:t>
            </w:r>
            <w:r w:rsidR="006A6CFC">
              <w:rPr>
                <w:noProof/>
                <w:webHidden/>
              </w:rPr>
              <w:fldChar w:fldCharType="end"/>
            </w:r>
          </w:hyperlink>
        </w:p>
        <w:p w14:paraId="2C316485" w14:textId="4F690B5D" w:rsidR="006A6CFC" w:rsidRDefault="00000000">
          <w:pPr>
            <w:pStyle w:val="Spistreci2"/>
            <w:rPr>
              <w:rFonts w:eastAsiaTheme="minorEastAsia"/>
              <w:noProof/>
              <w:kern w:val="2"/>
              <w:lang w:eastAsia="pl-PL"/>
              <w14:ligatures w14:val="standardContextual"/>
            </w:rPr>
          </w:pPr>
          <w:hyperlink w:anchor="_Toc138329785" w:history="1">
            <w:r w:rsidR="006A6CFC" w:rsidRPr="00996A16">
              <w:rPr>
                <w:rStyle w:val="Hipercze"/>
                <w:rFonts w:ascii="Arial" w:hAnsi="Arial" w:cs="Arial"/>
                <w:noProof/>
              </w:rPr>
              <w:t>Ustawa z dnia 5 lipca 2018 r. o krajowym systemie cyberbezpieczeństwa</w:t>
            </w:r>
            <w:r w:rsidR="006A6CFC">
              <w:rPr>
                <w:noProof/>
                <w:webHidden/>
              </w:rPr>
              <w:tab/>
            </w:r>
            <w:r w:rsidR="006A6CFC">
              <w:rPr>
                <w:noProof/>
                <w:webHidden/>
              </w:rPr>
              <w:fldChar w:fldCharType="begin"/>
            </w:r>
            <w:r w:rsidR="006A6CFC">
              <w:rPr>
                <w:noProof/>
                <w:webHidden/>
              </w:rPr>
              <w:instrText xml:space="preserve"> PAGEREF _Toc138329785 \h </w:instrText>
            </w:r>
            <w:r w:rsidR="006A6CFC">
              <w:rPr>
                <w:noProof/>
                <w:webHidden/>
              </w:rPr>
            </w:r>
            <w:r w:rsidR="006A6CFC">
              <w:rPr>
                <w:noProof/>
                <w:webHidden/>
              </w:rPr>
              <w:fldChar w:fldCharType="separate"/>
            </w:r>
            <w:r w:rsidR="006A6CFC">
              <w:rPr>
                <w:noProof/>
                <w:webHidden/>
              </w:rPr>
              <w:t>80</w:t>
            </w:r>
            <w:r w:rsidR="006A6CFC">
              <w:rPr>
                <w:noProof/>
                <w:webHidden/>
              </w:rPr>
              <w:fldChar w:fldCharType="end"/>
            </w:r>
          </w:hyperlink>
        </w:p>
        <w:p w14:paraId="7DEA14E2" w14:textId="390C57B2" w:rsidR="006A6CFC" w:rsidRDefault="00000000">
          <w:pPr>
            <w:pStyle w:val="Spistreci2"/>
            <w:rPr>
              <w:rFonts w:eastAsiaTheme="minorEastAsia"/>
              <w:noProof/>
              <w:kern w:val="2"/>
              <w:lang w:eastAsia="pl-PL"/>
              <w14:ligatures w14:val="standardContextual"/>
            </w:rPr>
          </w:pPr>
          <w:hyperlink w:anchor="_Toc138329786" w:history="1">
            <w:r w:rsidR="006A6CFC" w:rsidRPr="00996A16">
              <w:rPr>
                <w:rStyle w:val="Hipercze"/>
                <w:rFonts w:ascii="Arial" w:hAnsi="Arial" w:cs="Arial"/>
                <w:noProof/>
              </w:rPr>
              <w:t>Ustawa z dnia 5 lipca 2018 r. o zarządzie sukcesyjnym przedsiębiorstwem osoby fizycznej i innych ułatwieniach związanych z sukcesją przedsiębiorstw</w:t>
            </w:r>
            <w:r w:rsidR="006A6CFC">
              <w:rPr>
                <w:noProof/>
                <w:webHidden/>
              </w:rPr>
              <w:tab/>
            </w:r>
            <w:r w:rsidR="006A6CFC">
              <w:rPr>
                <w:noProof/>
                <w:webHidden/>
              </w:rPr>
              <w:fldChar w:fldCharType="begin"/>
            </w:r>
            <w:r w:rsidR="006A6CFC">
              <w:rPr>
                <w:noProof/>
                <w:webHidden/>
              </w:rPr>
              <w:instrText xml:space="preserve"> PAGEREF _Toc138329786 \h </w:instrText>
            </w:r>
            <w:r w:rsidR="006A6CFC">
              <w:rPr>
                <w:noProof/>
                <w:webHidden/>
              </w:rPr>
            </w:r>
            <w:r w:rsidR="006A6CFC">
              <w:rPr>
                <w:noProof/>
                <w:webHidden/>
              </w:rPr>
              <w:fldChar w:fldCharType="separate"/>
            </w:r>
            <w:r w:rsidR="006A6CFC">
              <w:rPr>
                <w:noProof/>
                <w:webHidden/>
              </w:rPr>
              <w:t>81</w:t>
            </w:r>
            <w:r w:rsidR="006A6CFC">
              <w:rPr>
                <w:noProof/>
                <w:webHidden/>
              </w:rPr>
              <w:fldChar w:fldCharType="end"/>
            </w:r>
          </w:hyperlink>
        </w:p>
        <w:p w14:paraId="183028C0" w14:textId="41E1250A" w:rsidR="006A6CFC" w:rsidRDefault="00000000">
          <w:pPr>
            <w:pStyle w:val="Spistreci2"/>
            <w:rPr>
              <w:rFonts w:eastAsiaTheme="minorEastAsia"/>
              <w:noProof/>
              <w:kern w:val="2"/>
              <w:lang w:eastAsia="pl-PL"/>
              <w14:ligatures w14:val="standardContextual"/>
            </w:rPr>
          </w:pPr>
          <w:hyperlink w:anchor="_Toc138329787" w:history="1">
            <w:r w:rsidR="006A6CFC" w:rsidRPr="00996A16">
              <w:rPr>
                <w:rStyle w:val="Hipercze"/>
                <w:rFonts w:ascii="Arial" w:hAnsi="Arial" w:cs="Arial"/>
                <w:noProof/>
              </w:rPr>
              <w:t>Ustawa z dnia 19 lipca 2019 r. o systemie rekompensat dla sektorów i podsektorów energochłonnych</w:t>
            </w:r>
            <w:r w:rsidR="006A6CFC">
              <w:rPr>
                <w:noProof/>
                <w:webHidden/>
              </w:rPr>
              <w:tab/>
            </w:r>
            <w:r w:rsidR="006A6CFC">
              <w:rPr>
                <w:noProof/>
                <w:webHidden/>
              </w:rPr>
              <w:fldChar w:fldCharType="begin"/>
            </w:r>
            <w:r w:rsidR="006A6CFC">
              <w:rPr>
                <w:noProof/>
                <w:webHidden/>
              </w:rPr>
              <w:instrText xml:space="preserve"> PAGEREF _Toc138329787 \h </w:instrText>
            </w:r>
            <w:r w:rsidR="006A6CFC">
              <w:rPr>
                <w:noProof/>
                <w:webHidden/>
              </w:rPr>
            </w:r>
            <w:r w:rsidR="006A6CFC">
              <w:rPr>
                <w:noProof/>
                <w:webHidden/>
              </w:rPr>
              <w:fldChar w:fldCharType="separate"/>
            </w:r>
            <w:r w:rsidR="006A6CFC">
              <w:rPr>
                <w:noProof/>
                <w:webHidden/>
              </w:rPr>
              <w:t>82</w:t>
            </w:r>
            <w:r w:rsidR="006A6CFC">
              <w:rPr>
                <w:noProof/>
                <w:webHidden/>
              </w:rPr>
              <w:fldChar w:fldCharType="end"/>
            </w:r>
          </w:hyperlink>
        </w:p>
        <w:p w14:paraId="0A9810F7" w14:textId="48DF5647" w:rsidR="006A6CFC" w:rsidRDefault="00000000">
          <w:pPr>
            <w:pStyle w:val="Spistreci2"/>
            <w:rPr>
              <w:rFonts w:eastAsiaTheme="minorEastAsia"/>
              <w:noProof/>
              <w:kern w:val="2"/>
              <w:lang w:eastAsia="pl-PL"/>
              <w14:ligatures w14:val="standardContextual"/>
            </w:rPr>
          </w:pPr>
          <w:hyperlink w:anchor="_Toc138329788" w:history="1">
            <w:r w:rsidR="006A6CFC" w:rsidRPr="00996A16">
              <w:rPr>
                <w:rStyle w:val="Hipercze"/>
                <w:rFonts w:ascii="Arial" w:hAnsi="Arial" w:cs="Arial"/>
                <w:noProof/>
              </w:rPr>
              <w:t>Ustawa z dnia 11 września 2019 r. – Prawo zamówień publicznych oraz ustawa z dnia 21 października 2016 r. o umowie koncesji na roboty budowlane lub usługi</w:t>
            </w:r>
            <w:r w:rsidR="006A6CFC">
              <w:rPr>
                <w:noProof/>
                <w:webHidden/>
              </w:rPr>
              <w:tab/>
            </w:r>
            <w:r w:rsidR="006A6CFC">
              <w:rPr>
                <w:noProof/>
                <w:webHidden/>
              </w:rPr>
              <w:fldChar w:fldCharType="begin"/>
            </w:r>
            <w:r w:rsidR="006A6CFC">
              <w:rPr>
                <w:noProof/>
                <w:webHidden/>
              </w:rPr>
              <w:instrText xml:space="preserve"> PAGEREF _Toc138329788 \h </w:instrText>
            </w:r>
            <w:r w:rsidR="006A6CFC">
              <w:rPr>
                <w:noProof/>
                <w:webHidden/>
              </w:rPr>
            </w:r>
            <w:r w:rsidR="006A6CFC">
              <w:rPr>
                <w:noProof/>
                <w:webHidden/>
              </w:rPr>
              <w:fldChar w:fldCharType="separate"/>
            </w:r>
            <w:r w:rsidR="006A6CFC">
              <w:rPr>
                <w:noProof/>
                <w:webHidden/>
              </w:rPr>
              <w:t>83</w:t>
            </w:r>
            <w:r w:rsidR="006A6CFC">
              <w:rPr>
                <w:noProof/>
                <w:webHidden/>
              </w:rPr>
              <w:fldChar w:fldCharType="end"/>
            </w:r>
          </w:hyperlink>
        </w:p>
        <w:p w14:paraId="06CF8496" w14:textId="0D28550D" w:rsidR="006A6CFC" w:rsidRDefault="00000000">
          <w:pPr>
            <w:pStyle w:val="Spistreci1"/>
            <w:rPr>
              <w:rFonts w:eastAsiaTheme="minorEastAsia"/>
              <w:noProof/>
              <w:kern w:val="2"/>
              <w:lang w:eastAsia="pl-PL"/>
              <w14:ligatures w14:val="standardContextual"/>
            </w:rPr>
          </w:pPr>
          <w:hyperlink w:anchor="_Toc138329789" w:history="1">
            <w:r w:rsidR="006A6CFC" w:rsidRPr="00996A16">
              <w:rPr>
                <w:rStyle w:val="Hipercze"/>
                <w:rFonts w:ascii="Arial" w:hAnsi="Arial" w:cs="Arial"/>
                <w:noProof/>
              </w:rPr>
              <w:t>Ustawa z dnia 2 marca 2020 r. o szczególnych rozwiązaniach związanych z zapobieganiem, przeciwdziałaniem i zwalczaniem COVID-19, innych chorób zakaźnych oraz wywołanych nimi sytuacji kryzysowych</w:t>
            </w:r>
            <w:r w:rsidR="006A6CFC">
              <w:rPr>
                <w:noProof/>
                <w:webHidden/>
              </w:rPr>
              <w:tab/>
            </w:r>
            <w:r w:rsidR="006A6CFC">
              <w:rPr>
                <w:noProof/>
                <w:webHidden/>
              </w:rPr>
              <w:fldChar w:fldCharType="begin"/>
            </w:r>
            <w:r w:rsidR="006A6CFC">
              <w:rPr>
                <w:noProof/>
                <w:webHidden/>
              </w:rPr>
              <w:instrText xml:space="preserve"> PAGEREF _Toc138329789 \h </w:instrText>
            </w:r>
            <w:r w:rsidR="006A6CFC">
              <w:rPr>
                <w:noProof/>
                <w:webHidden/>
              </w:rPr>
            </w:r>
            <w:r w:rsidR="006A6CFC">
              <w:rPr>
                <w:noProof/>
                <w:webHidden/>
              </w:rPr>
              <w:fldChar w:fldCharType="separate"/>
            </w:r>
            <w:r w:rsidR="006A6CFC">
              <w:rPr>
                <w:noProof/>
                <w:webHidden/>
              </w:rPr>
              <w:t>87</w:t>
            </w:r>
            <w:r w:rsidR="006A6CFC">
              <w:rPr>
                <w:noProof/>
                <w:webHidden/>
              </w:rPr>
              <w:fldChar w:fldCharType="end"/>
            </w:r>
          </w:hyperlink>
        </w:p>
        <w:p w14:paraId="621E3273" w14:textId="21DF19CA" w:rsidR="006A6CFC" w:rsidRDefault="00000000">
          <w:pPr>
            <w:pStyle w:val="Spistreci1"/>
            <w:rPr>
              <w:rFonts w:eastAsiaTheme="minorEastAsia"/>
              <w:noProof/>
              <w:kern w:val="2"/>
              <w:lang w:eastAsia="pl-PL"/>
              <w14:ligatures w14:val="standardContextual"/>
            </w:rPr>
          </w:pPr>
          <w:hyperlink w:anchor="_Toc138329790" w:history="1">
            <w:r w:rsidR="006A6CFC" w:rsidRPr="00996A16">
              <w:rPr>
                <w:rStyle w:val="Hipercze"/>
                <w:rFonts w:ascii="Arial" w:hAnsi="Arial" w:cs="Arial"/>
                <w:noProof/>
              </w:rPr>
              <w:t>Ustawa z dnia 16 lipca 2020 r. o udzielaniu pomocy publicznej w celu ratowania lub restrukturyzacji przedsiębiorców</w:t>
            </w:r>
            <w:r w:rsidR="006A6CFC">
              <w:rPr>
                <w:noProof/>
                <w:webHidden/>
              </w:rPr>
              <w:tab/>
            </w:r>
            <w:r w:rsidR="006A6CFC">
              <w:rPr>
                <w:noProof/>
                <w:webHidden/>
              </w:rPr>
              <w:fldChar w:fldCharType="begin"/>
            </w:r>
            <w:r w:rsidR="006A6CFC">
              <w:rPr>
                <w:noProof/>
                <w:webHidden/>
              </w:rPr>
              <w:instrText xml:space="preserve"> PAGEREF _Toc138329790 \h </w:instrText>
            </w:r>
            <w:r w:rsidR="006A6CFC">
              <w:rPr>
                <w:noProof/>
                <w:webHidden/>
              </w:rPr>
            </w:r>
            <w:r w:rsidR="006A6CFC">
              <w:rPr>
                <w:noProof/>
                <w:webHidden/>
              </w:rPr>
              <w:fldChar w:fldCharType="separate"/>
            </w:r>
            <w:r w:rsidR="006A6CFC">
              <w:rPr>
                <w:noProof/>
                <w:webHidden/>
              </w:rPr>
              <w:t>87</w:t>
            </w:r>
            <w:r w:rsidR="006A6CFC">
              <w:rPr>
                <w:noProof/>
                <w:webHidden/>
              </w:rPr>
              <w:fldChar w:fldCharType="end"/>
            </w:r>
          </w:hyperlink>
        </w:p>
        <w:p w14:paraId="3B825C51" w14:textId="565007F1" w:rsidR="006A6CFC" w:rsidRDefault="00000000">
          <w:pPr>
            <w:pStyle w:val="Spistreci1"/>
            <w:rPr>
              <w:rFonts w:eastAsiaTheme="minorEastAsia"/>
              <w:noProof/>
              <w:kern w:val="2"/>
              <w:lang w:eastAsia="pl-PL"/>
              <w14:ligatures w14:val="standardContextual"/>
            </w:rPr>
          </w:pPr>
          <w:hyperlink w:anchor="_Toc138329791" w:history="1">
            <w:r w:rsidR="006A6CFC" w:rsidRPr="00996A16">
              <w:rPr>
                <w:rStyle w:val="Hipercze"/>
                <w:rFonts w:ascii="Arial" w:hAnsi="Arial" w:cs="Arial"/>
                <w:noProof/>
              </w:rPr>
              <w:t>Ustawa z dnia 20 maja 2021 r. o ochronie praw nabywcy lokalu mieszkalnego lub domu jednorodzinnego oraz Deweloperskim Funduszu Gwarancyjnym</w:t>
            </w:r>
            <w:r w:rsidR="006A6CFC">
              <w:rPr>
                <w:noProof/>
                <w:webHidden/>
              </w:rPr>
              <w:tab/>
            </w:r>
            <w:r w:rsidR="006A6CFC">
              <w:rPr>
                <w:noProof/>
                <w:webHidden/>
              </w:rPr>
              <w:fldChar w:fldCharType="begin"/>
            </w:r>
            <w:r w:rsidR="006A6CFC">
              <w:rPr>
                <w:noProof/>
                <w:webHidden/>
              </w:rPr>
              <w:instrText xml:space="preserve"> PAGEREF _Toc138329791 \h </w:instrText>
            </w:r>
            <w:r w:rsidR="006A6CFC">
              <w:rPr>
                <w:noProof/>
                <w:webHidden/>
              </w:rPr>
            </w:r>
            <w:r w:rsidR="006A6CFC">
              <w:rPr>
                <w:noProof/>
                <w:webHidden/>
              </w:rPr>
              <w:fldChar w:fldCharType="separate"/>
            </w:r>
            <w:r w:rsidR="006A6CFC">
              <w:rPr>
                <w:noProof/>
                <w:webHidden/>
              </w:rPr>
              <w:t>89</w:t>
            </w:r>
            <w:r w:rsidR="006A6CFC">
              <w:rPr>
                <w:noProof/>
                <w:webHidden/>
              </w:rPr>
              <w:fldChar w:fldCharType="end"/>
            </w:r>
          </w:hyperlink>
        </w:p>
        <w:p w14:paraId="131C508B" w14:textId="1806BEFF" w:rsidR="006A6CFC" w:rsidRDefault="00000000">
          <w:pPr>
            <w:pStyle w:val="Spistreci1"/>
            <w:rPr>
              <w:rFonts w:eastAsiaTheme="minorEastAsia"/>
              <w:noProof/>
              <w:kern w:val="2"/>
              <w:lang w:eastAsia="pl-PL"/>
              <w14:ligatures w14:val="standardContextual"/>
            </w:rPr>
          </w:pPr>
          <w:hyperlink w:anchor="_Toc138329792" w:history="1">
            <w:r w:rsidR="006A6CFC" w:rsidRPr="00996A16">
              <w:rPr>
                <w:rStyle w:val="Hipercze"/>
                <w:rFonts w:ascii="Arial" w:hAnsi="Arial" w:cs="Arial"/>
                <w:noProof/>
              </w:rPr>
              <w:t>Ustawa z dnia 12 marca 2022 r. o pomocy obywatelom Ukrainy w związku z konfliktem zbrojnym na terytorium tego państwa</w:t>
            </w:r>
            <w:r w:rsidR="006A6CFC">
              <w:rPr>
                <w:noProof/>
                <w:webHidden/>
              </w:rPr>
              <w:tab/>
            </w:r>
            <w:r w:rsidR="006A6CFC">
              <w:rPr>
                <w:noProof/>
                <w:webHidden/>
              </w:rPr>
              <w:fldChar w:fldCharType="begin"/>
            </w:r>
            <w:r w:rsidR="006A6CFC">
              <w:rPr>
                <w:noProof/>
                <w:webHidden/>
              </w:rPr>
              <w:instrText xml:space="preserve"> PAGEREF _Toc138329792 \h </w:instrText>
            </w:r>
            <w:r w:rsidR="006A6CFC">
              <w:rPr>
                <w:noProof/>
                <w:webHidden/>
              </w:rPr>
            </w:r>
            <w:r w:rsidR="006A6CFC">
              <w:rPr>
                <w:noProof/>
                <w:webHidden/>
              </w:rPr>
              <w:fldChar w:fldCharType="separate"/>
            </w:r>
            <w:r w:rsidR="006A6CFC">
              <w:rPr>
                <w:noProof/>
                <w:webHidden/>
              </w:rPr>
              <w:t>95</w:t>
            </w:r>
            <w:r w:rsidR="006A6CFC">
              <w:rPr>
                <w:noProof/>
                <w:webHidden/>
              </w:rPr>
              <w:fldChar w:fldCharType="end"/>
            </w:r>
          </w:hyperlink>
        </w:p>
        <w:p w14:paraId="404A920E" w14:textId="3EE3C393" w:rsidR="006A6CFC" w:rsidRDefault="00000000">
          <w:pPr>
            <w:pStyle w:val="Spistreci1"/>
            <w:rPr>
              <w:rFonts w:eastAsiaTheme="minorEastAsia"/>
              <w:noProof/>
              <w:kern w:val="2"/>
              <w:lang w:eastAsia="pl-PL"/>
              <w14:ligatures w14:val="standardContextual"/>
            </w:rPr>
          </w:pPr>
          <w:hyperlink w:anchor="_Toc138329793" w:history="1">
            <w:r w:rsidR="006A6CFC" w:rsidRPr="00996A16">
              <w:rPr>
                <w:rStyle w:val="Hipercze"/>
                <w:rFonts w:ascii="Arial" w:hAnsi="Arial" w:cs="Arial"/>
                <w:noProof/>
              </w:rPr>
              <w:t>Realizacja art. 66 Prawa przedsiębiorców oraz ocena przewidywanego wpływu projektu ustawy na działalność mikroprzedsiębiorców oraz małych i średnich przedsiębiorców</w:t>
            </w:r>
            <w:r w:rsidR="006A6CFC">
              <w:rPr>
                <w:noProof/>
                <w:webHidden/>
              </w:rPr>
              <w:tab/>
            </w:r>
            <w:r w:rsidR="006A6CFC">
              <w:rPr>
                <w:noProof/>
                <w:webHidden/>
              </w:rPr>
              <w:fldChar w:fldCharType="begin"/>
            </w:r>
            <w:r w:rsidR="006A6CFC">
              <w:rPr>
                <w:noProof/>
                <w:webHidden/>
              </w:rPr>
              <w:instrText xml:space="preserve"> PAGEREF _Toc138329793 \h </w:instrText>
            </w:r>
            <w:r w:rsidR="006A6CFC">
              <w:rPr>
                <w:noProof/>
                <w:webHidden/>
              </w:rPr>
            </w:r>
            <w:r w:rsidR="006A6CFC">
              <w:rPr>
                <w:noProof/>
                <w:webHidden/>
              </w:rPr>
              <w:fldChar w:fldCharType="separate"/>
            </w:r>
            <w:r w:rsidR="006A6CFC">
              <w:rPr>
                <w:noProof/>
                <w:webHidden/>
              </w:rPr>
              <w:t>96</w:t>
            </w:r>
            <w:r w:rsidR="006A6CFC">
              <w:rPr>
                <w:noProof/>
                <w:webHidden/>
              </w:rPr>
              <w:fldChar w:fldCharType="end"/>
            </w:r>
          </w:hyperlink>
        </w:p>
        <w:p w14:paraId="07D1E759" w14:textId="2173B11D" w:rsidR="006A6CFC" w:rsidRDefault="00000000">
          <w:pPr>
            <w:pStyle w:val="Spistreci1"/>
            <w:rPr>
              <w:rFonts w:eastAsiaTheme="minorEastAsia"/>
              <w:noProof/>
              <w:kern w:val="2"/>
              <w:lang w:eastAsia="pl-PL"/>
              <w14:ligatures w14:val="standardContextual"/>
            </w:rPr>
          </w:pPr>
          <w:hyperlink w:anchor="_Toc138329794" w:history="1">
            <w:r w:rsidR="006A6CFC" w:rsidRPr="00996A16">
              <w:rPr>
                <w:rStyle w:val="Hipercze"/>
                <w:rFonts w:ascii="Arial" w:hAnsi="Arial" w:cs="Arial"/>
                <w:noProof/>
              </w:rPr>
              <w:t>Skutki społeczno-gospodarcze</w:t>
            </w:r>
            <w:r w:rsidR="006A6CFC">
              <w:rPr>
                <w:noProof/>
                <w:webHidden/>
              </w:rPr>
              <w:tab/>
            </w:r>
            <w:r w:rsidR="006A6CFC">
              <w:rPr>
                <w:noProof/>
                <w:webHidden/>
              </w:rPr>
              <w:fldChar w:fldCharType="begin"/>
            </w:r>
            <w:r w:rsidR="006A6CFC">
              <w:rPr>
                <w:noProof/>
                <w:webHidden/>
              </w:rPr>
              <w:instrText xml:space="preserve"> PAGEREF _Toc138329794 \h </w:instrText>
            </w:r>
            <w:r w:rsidR="006A6CFC">
              <w:rPr>
                <w:noProof/>
                <w:webHidden/>
              </w:rPr>
            </w:r>
            <w:r w:rsidR="006A6CFC">
              <w:rPr>
                <w:noProof/>
                <w:webHidden/>
              </w:rPr>
              <w:fldChar w:fldCharType="separate"/>
            </w:r>
            <w:r w:rsidR="006A6CFC">
              <w:rPr>
                <w:noProof/>
                <w:webHidden/>
              </w:rPr>
              <w:t>97</w:t>
            </w:r>
            <w:r w:rsidR="006A6CFC">
              <w:rPr>
                <w:noProof/>
                <w:webHidden/>
              </w:rPr>
              <w:fldChar w:fldCharType="end"/>
            </w:r>
          </w:hyperlink>
        </w:p>
        <w:p w14:paraId="1AA50705" w14:textId="6059A614" w:rsidR="006A6CFC" w:rsidRDefault="00000000">
          <w:pPr>
            <w:pStyle w:val="Spistreci1"/>
            <w:rPr>
              <w:rFonts w:eastAsiaTheme="minorEastAsia"/>
              <w:noProof/>
              <w:kern w:val="2"/>
              <w:lang w:eastAsia="pl-PL"/>
              <w14:ligatures w14:val="standardContextual"/>
            </w:rPr>
          </w:pPr>
          <w:hyperlink w:anchor="_Toc138329795" w:history="1">
            <w:r w:rsidR="006A6CFC" w:rsidRPr="00996A16">
              <w:rPr>
                <w:rStyle w:val="Hipercze"/>
                <w:rFonts w:ascii="Arial" w:hAnsi="Arial" w:cs="Arial"/>
                <w:noProof/>
              </w:rPr>
              <w:t>Przepisy przejściowe i końcowe</w:t>
            </w:r>
            <w:r w:rsidR="006A6CFC">
              <w:rPr>
                <w:noProof/>
                <w:webHidden/>
              </w:rPr>
              <w:tab/>
            </w:r>
            <w:r w:rsidR="006A6CFC">
              <w:rPr>
                <w:noProof/>
                <w:webHidden/>
              </w:rPr>
              <w:fldChar w:fldCharType="begin"/>
            </w:r>
            <w:r w:rsidR="006A6CFC">
              <w:rPr>
                <w:noProof/>
                <w:webHidden/>
              </w:rPr>
              <w:instrText xml:space="preserve"> PAGEREF _Toc138329795 \h </w:instrText>
            </w:r>
            <w:r w:rsidR="006A6CFC">
              <w:rPr>
                <w:noProof/>
                <w:webHidden/>
              </w:rPr>
            </w:r>
            <w:r w:rsidR="006A6CFC">
              <w:rPr>
                <w:noProof/>
                <w:webHidden/>
              </w:rPr>
              <w:fldChar w:fldCharType="separate"/>
            </w:r>
            <w:r w:rsidR="006A6CFC">
              <w:rPr>
                <w:noProof/>
                <w:webHidden/>
              </w:rPr>
              <w:t>97</w:t>
            </w:r>
            <w:r w:rsidR="006A6CFC">
              <w:rPr>
                <w:noProof/>
                <w:webHidden/>
              </w:rPr>
              <w:fldChar w:fldCharType="end"/>
            </w:r>
          </w:hyperlink>
        </w:p>
        <w:p w14:paraId="503D336F" w14:textId="60C99EA5" w:rsidR="001914A6" w:rsidRPr="005C158A" w:rsidRDefault="001914A6" w:rsidP="00401710">
          <w:pPr>
            <w:spacing w:before="120" w:after="120" w:line="360" w:lineRule="auto"/>
            <w:jc w:val="both"/>
            <w:rPr>
              <w:rFonts w:ascii="Arial" w:hAnsi="Arial" w:cs="Arial"/>
              <w:sz w:val="20"/>
              <w:szCs w:val="20"/>
            </w:rPr>
          </w:pPr>
          <w:r w:rsidRPr="005C158A">
            <w:rPr>
              <w:rFonts w:ascii="Arial" w:hAnsi="Arial" w:cs="Arial"/>
              <w:b/>
              <w:bCs/>
              <w:sz w:val="20"/>
              <w:szCs w:val="20"/>
            </w:rPr>
            <w:fldChar w:fldCharType="end"/>
          </w:r>
        </w:p>
      </w:sdtContent>
    </w:sdt>
    <w:p w14:paraId="685E1A8A" w14:textId="77777777" w:rsidR="00F245D7" w:rsidRPr="005C158A" w:rsidRDefault="00F245D7" w:rsidP="00401710">
      <w:pPr>
        <w:jc w:val="both"/>
        <w:rPr>
          <w:rFonts w:ascii="Arial" w:eastAsiaTheme="majorEastAsia" w:hAnsi="Arial" w:cs="Arial"/>
          <w:b/>
          <w:bCs/>
          <w:sz w:val="20"/>
          <w:szCs w:val="20"/>
        </w:rPr>
      </w:pPr>
      <w:r w:rsidRPr="005C158A">
        <w:rPr>
          <w:rFonts w:ascii="Arial" w:hAnsi="Arial" w:cs="Arial"/>
          <w:sz w:val="20"/>
          <w:szCs w:val="20"/>
        </w:rPr>
        <w:br w:type="page"/>
      </w:r>
    </w:p>
    <w:p w14:paraId="56EB1033" w14:textId="540F41DA" w:rsidR="00441240" w:rsidRPr="005C158A" w:rsidRDefault="0006198A" w:rsidP="00401710">
      <w:pPr>
        <w:pStyle w:val="Nagwek1"/>
        <w:spacing w:before="120" w:after="120" w:line="360" w:lineRule="auto"/>
        <w:jc w:val="both"/>
        <w:rPr>
          <w:rFonts w:ascii="Arial" w:hAnsi="Arial" w:cs="Arial"/>
          <w:color w:val="auto"/>
          <w:sz w:val="20"/>
          <w:szCs w:val="20"/>
        </w:rPr>
      </w:pPr>
      <w:bookmarkStart w:id="0" w:name="_Toc138329742"/>
      <w:r w:rsidRPr="005C158A">
        <w:rPr>
          <w:rFonts w:ascii="Arial" w:hAnsi="Arial" w:cs="Arial"/>
          <w:color w:val="auto"/>
          <w:sz w:val="20"/>
          <w:szCs w:val="20"/>
        </w:rPr>
        <w:lastRenderedPageBreak/>
        <w:t>Cel i potrzeba ustawy</w:t>
      </w:r>
      <w:bookmarkEnd w:id="0"/>
    </w:p>
    <w:p w14:paraId="51366F9F" w14:textId="059DD445" w:rsidR="00816613" w:rsidRPr="005C158A" w:rsidRDefault="002052B8" w:rsidP="00401710">
      <w:pPr>
        <w:spacing w:before="120" w:after="120" w:line="360" w:lineRule="auto"/>
        <w:jc w:val="both"/>
        <w:rPr>
          <w:rFonts w:ascii="Arial" w:hAnsi="Arial" w:cs="Arial"/>
          <w:sz w:val="20"/>
          <w:szCs w:val="20"/>
        </w:rPr>
      </w:pPr>
      <w:r w:rsidRPr="005C158A">
        <w:rPr>
          <w:rFonts w:ascii="Arial" w:hAnsi="Arial" w:cs="Arial"/>
          <w:sz w:val="20"/>
          <w:szCs w:val="20"/>
        </w:rPr>
        <w:t>Projekt ustawy stanowi kolejny krok w kierunku poprawy środowiska prawnego i instytucjonalnego, w</w:t>
      </w:r>
      <w:r w:rsidR="00295358" w:rsidRPr="005C158A">
        <w:rPr>
          <w:rFonts w:ascii="Arial" w:hAnsi="Arial" w:cs="Arial"/>
          <w:sz w:val="20"/>
          <w:szCs w:val="20"/>
        </w:rPr>
        <w:t> </w:t>
      </w:r>
      <w:r w:rsidRPr="005C158A">
        <w:rPr>
          <w:rFonts w:ascii="Arial" w:hAnsi="Arial" w:cs="Arial"/>
          <w:sz w:val="20"/>
          <w:szCs w:val="20"/>
        </w:rPr>
        <w:t xml:space="preserve">którym działają polskie firmy. W ostatnich latach doszło do przyjęcia szeregu kompleksowych pro-przedsiębiorczych ustaw regulujących </w:t>
      </w:r>
      <w:r w:rsidR="00BB09E2" w:rsidRPr="005C158A">
        <w:rPr>
          <w:rFonts w:ascii="Arial" w:hAnsi="Arial" w:cs="Arial"/>
          <w:sz w:val="20"/>
          <w:szCs w:val="20"/>
        </w:rPr>
        <w:t xml:space="preserve">i ułatwiających </w:t>
      </w:r>
      <w:r w:rsidRPr="005C158A">
        <w:rPr>
          <w:rFonts w:ascii="Arial" w:hAnsi="Arial" w:cs="Arial"/>
          <w:sz w:val="20"/>
          <w:szCs w:val="20"/>
        </w:rPr>
        <w:t>zasady prowadzenia działalności gospodarczej w</w:t>
      </w:r>
      <w:r w:rsidR="00295358" w:rsidRPr="005C158A">
        <w:rPr>
          <w:rFonts w:ascii="Arial" w:hAnsi="Arial" w:cs="Arial"/>
          <w:sz w:val="20"/>
          <w:szCs w:val="20"/>
        </w:rPr>
        <w:t> </w:t>
      </w:r>
      <w:r w:rsidRPr="005C158A">
        <w:rPr>
          <w:rFonts w:ascii="Arial" w:hAnsi="Arial" w:cs="Arial"/>
          <w:sz w:val="20"/>
          <w:szCs w:val="20"/>
        </w:rPr>
        <w:t>Polsce</w:t>
      </w:r>
      <w:r w:rsidR="00821D42" w:rsidRPr="005C158A">
        <w:rPr>
          <w:rFonts w:ascii="Arial" w:hAnsi="Arial" w:cs="Arial"/>
          <w:sz w:val="20"/>
          <w:szCs w:val="20"/>
        </w:rPr>
        <w:t>. Można do nich zaliczyć takie rozwiązania</w:t>
      </w:r>
      <w:r w:rsidR="00BB09E2" w:rsidRPr="005C158A">
        <w:rPr>
          <w:rFonts w:ascii="Arial" w:hAnsi="Arial" w:cs="Arial"/>
          <w:sz w:val="20"/>
          <w:szCs w:val="20"/>
        </w:rPr>
        <w:t xml:space="preserve"> jak:</w:t>
      </w:r>
      <w:r w:rsidRPr="005C158A">
        <w:rPr>
          <w:rFonts w:ascii="Arial" w:hAnsi="Arial" w:cs="Arial"/>
          <w:sz w:val="20"/>
          <w:szCs w:val="20"/>
        </w:rPr>
        <w:t xml:space="preserve"> </w:t>
      </w:r>
    </w:p>
    <w:p w14:paraId="662690DD" w14:textId="5D2D7D56" w:rsidR="00BB09E2" w:rsidRPr="005C158A" w:rsidRDefault="002052B8" w:rsidP="0011422D">
      <w:pPr>
        <w:pStyle w:val="Akapitzlist"/>
        <w:numPr>
          <w:ilvl w:val="0"/>
          <w:numId w:val="9"/>
        </w:numPr>
        <w:spacing w:before="120" w:after="120" w:line="360" w:lineRule="auto"/>
        <w:ind w:left="0" w:firstLine="1"/>
        <w:contextualSpacing w:val="0"/>
        <w:jc w:val="both"/>
        <w:rPr>
          <w:rFonts w:ascii="Arial" w:hAnsi="Arial" w:cs="Arial"/>
          <w:sz w:val="20"/>
          <w:szCs w:val="20"/>
        </w:rPr>
      </w:pPr>
      <w:r w:rsidRPr="005C158A">
        <w:rPr>
          <w:rFonts w:ascii="Arial" w:hAnsi="Arial" w:cs="Arial"/>
          <w:sz w:val="20"/>
          <w:szCs w:val="20"/>
        </w:rPr>
        <w:t xml:space="preserve">pakiet tzw. „Konstytucji biznesu”, </w:t>
      </w:r>
      <w:r w:rsidR="002759C8" w:rsidRPr="005C158A">
        <w:rPr>
          <w:rFonts w:ascii="Arial" w:hAnsi="Arial" w:cs="Arial"/>
          <w:sz w:val="20"/>
          <w:szCs w:val="20"/>
        </w:rPr>
        <w:t>które</w:t>
      </w:r>
      <w:r w:rsidR="004B4707" w:rsidRPr="005C158A">
        <w:rPr>
          <w:rFonts w:ascii="Arial" w:hAnsi="Arial" w:cs="Arial"/>
          <w:sz w:val="20"/>
          <w:szCs w:val="20"/>
        </w:rPr>
        <w:t>go</w:t>
      </w:r>
      <w:r w:rsidR="002759C8" w:rsidRPr="005C158A">
        <w:rPr>
          <w:rFonts w:ascii="Arial" w:hAnsi="Arial" w:cs="Arial"/>
          <w:sz w:val="20"/>
          <w:szCs w:val="20"/>
        </w:rPr>
        <w:t xml:space="preserve"> celem było zreformowanie i uproszczenie przepisów dotyczących prowadzenia działalności gospodarczej. </w:t>
      </w:r>
      <w:r w:rsidR="00B145E3" w:rsidRPr="005C158A">
        <w:rPr>
          <w:rFonts w:ascii="Arial" w:hAnsi="Arial" w:cs="Arial"/>
          <w:sz w:val="20"/>
          <w:szCs w:val="20"/>
        </w:rPr>
        <w:t>Wprowadzono</w:t>
      </w:r>
      <w:r w:rsidR="006051A4" w:rsidRPr="005C158A">
        <w:rPr>
          <w:rFonts w:ascii="Arial" w:hAnsi="Arial" w:cs="Arial"/>
          <w:sz w:val="20"/>
          <w:szCs w:val="20"/>
        </w:rPr>
        <w:t xml:space="preserve"> m.in.</w:t>
      </w:r>
      <w:r w:rsidR="00821D42" w:rsidRPr="005C158A">
        <w:rPr>
          <w:rFonts w:ascii="Arial" w:hAnsi="Arial" w:cs="Arial"/>
          <w:sz w:val="20"/>
          <w:szCs w:val="20"/>
        </w:rPr>
        <w:t xml:space="preserve"> </w:t>
      </w:r>
      <w:r w:rsidR="00BB09E2" w:rsidRPr="005C158A">
        <w:rPr>
          <w:rFonts w:ascii="Arial" w:hAnsi="Arial" w:cs="Arial"/>
          <w:sz w:val="20"/>
          <w:szCs w:val="20"/>
        </w:rPr>
        <w:t>ustaw</w:t>
      </w:r>
      <w:r w:rsidR="006051A4" w:rsidRPr="005C158A">
        <w:rPr>
          <w:rFonts w:ascii="Arial" w:hAnsi="Arial" w:cs="Arial"/>
          <w:sz w:val="20"/>
          <w:szCs w:val="20"/>
        </w:rPr>
        <w:t>ę</w:t>
      </w:r>
      <w:r w:rsidR="00BB09E2" w:rsidRPr="005C158A">
        <w:rPr>
          <w:rFonts w:ascii="Arial" w:hAnsi="Arial" w:cs="Arial"/>
          <w:sz w:val="20"/>
          <w:szCs w:val="20"/>
        </w:rPr>
        <w:t xml:space="preserve"> z dnia 6 marca 2018</w:t>
      </w:r>
      <w:r w:rsidR="00423250" w:rsidRPr="005C158A">
        <w:rPr>
          <w:rFonts w:ascii="Arial" w:hAnsi="Arial" w:cs="Arial"/>
          <w:sz w:val="20"/>
          <w:szCs w:val="20"/>
        </w:rPr>
        <w:t> </w:t>
      </w:r>
      <w:r w:rsidR="00BB09E2" w:rsidRPr="005C158A">
        <w:rPr>
          <w:rFonts w:ascii="Arial" w:hAnsi="Arial" w:cs="Arial"/>
          <w:sz w:val="20"/>
          <w:szCs w:val="20"/>
        </w:rPr>
        <w:t xml:space="preserve">r. </w:t>
      </w:r>
      <w:r w:rsidR="00A838C6" w:rsidRPr="005C158A">
        <w:rPr>
          <w:rFonts w:ascii="Arial" w:hAnsi="Arial" w:cs="Arial"/>
          <w:sz w:val="20"/>
          <w:szCs w:val="20"/>
        </w:rPr>
        <w:t>–</w:t>
      </w:r>
      <w:r w:rsidR="00BB09E2" w:rsidRPr="005C158A">
        <w:rPr>
          <w:rFonts w:ascii="Arial" w:hAnsi="Arial" w:cs="Arial"/>
          <w:sz w:val="20"/>
          <w:szCs w:val="20"/>
        </w:rPr>
        <w:t xml:space="preserve"> </w:t>
      </w:r>
      <w:r w:rsidRPr="005C158A">
        <w:rPr>
          <w:rFonts w:ascii="Arial" w:hAnsi="Arial" w:cs="Arial"/>
          <w:sz w:val="20"/>
          <w:szCs w:val="20"/>
        </w:rPr>
        <w:t>Prawo przedsiębiorców</w:t>
      </w:r>
      <w:r w:rsidR="002759C8" w:rsidRPr="005C158A">
        <w:rPr>
          <w:rFonts w:ascii="Arial" w:hAnsi="Arial" w:cs="Arial"/>
          <w:sz w:val="20"/>
          <w:szCs w:val="20"/>
        </w:rPr>
        <w:t>, która</w:t>
      </w:r>
      <w:r w:rsidR="00BB09E2" w:rsidRPr="005C158A">
        <w:rPr>
          <w:rFonts w:ascii="Arial" w:hAnsi="Arial" w:cs="Arial"/>
          <w:sz w:val="20"/>
          <w:szCs w:val="20"/>
        </w:rPr>
        <w:t xml:space="preserve"> </w:t>
      </w:r>
      <w:r w:rsidR="002759C8" w:rsidRPr="005C158A">
        <w:rPr>
          <w:rFonts w:ascii="Arial" w:hAnsi="Arial" w:cs="Arial"/>
          <w:sz w:val="20"/>
          <w:szCs w:val="20"/>
        </w:rPr>
        <w:t xml:space="preserve">w sposób </w:t>
      </w:r>
      <w:r w:rsidR="00BB09E2" w:rsidRPr="005C158A">
        <w:rPr>
          <w:rFonts w:ascii="Arial" w:hAnsi="Arial" w:cs="Arial"/>
          <w:sz w:val="20"/>
          <w:szCs w:val="20"/>
        </w:rPr>
        <w:t>całościow</w:t>
      </w:r>
      <w:r w:rsidR="002759C8" w:rsidRPr="005C158A">
        <w:rPr>
          <w:rFonts w:ascii="Arial" w:hAnsi="Arial" w:cs="Arial"/>
          <w:sz w:val="20"/>
          <w:szCs w:val="20"/>
        </w:rPr>
        <w:t>y</w:t>
      </w:r>
      <w:r w:rsidR="00BB09E2" w:rsidRPr="005C158A">
        <w:rPr>
          <w:rFonts w:ascii="Arial" w:hAnsi="Arial" w:cs="Arial"/>
          <w:sz w:val="20"/>
          <w:szCs w:val="20"/>
        </w:rPr>
        <w:t xml:space="preserve"> i spójn</w:t>
      </w:r>
      <w:r w:rsidR="002759C8" w:rsidRPr="005C158A">
        <w:rPr>
          <w:rFonts w:ascii="Arial" w:hAnsi="Arial" w:cs="Arial"/>
          <w:sz w:val="20"/>
          <w:szCs w:val="20"/>
        </w:rPr>
        <w:t>y</w:t>
      </w:r>
      <w:r w:rsidR="00BB09E2" w:rsidRPr="005C158A">
        <w:rPr>
          <w:rFonts w:ascii="Arial" w:hAnsi="Arial" w:cs="Arial"/>
          <w:sz w:val="20"/>
          <w:szCs w:val="20"/>
        </w:rPr>
        <w:t xml:space="preserve"> uregulowa</w:t>
      </w:r>
      <w:r w:rsidR="002759C8" w:rsidRPr="005C158A">
        <w:rPr>
          <w:rFonts w:ascii="Arial" w:hAnsi="Arial" w:cs="Arial"/>
          <w:sz w:val="20"/>
          <w:szCs w:val="20"/>
        </w:rPr>
        <w:t>ła</w:t>
      </w:r>
      <w:r w:rsidR="00BB09E2" w:rsidRPr="005C158A">
        <w:rPr>
          <w:rFonts w:ascii="Arial" w:hAnsi="Arial" w:cs="Arial"/>
          <w:sz w:val="20"/>
          <w:szCs w:val="20"/>
        </w:rPr>
        <w:t xml:space="preserve"> ogóln</w:t>
      </w:r>
      <w:r w:rsidR="002759C8" w:rsidRPr="005C158A">
        <w:rPr>
          <w:rFonts w:ascii="Arial" w:hAnsi="Arial" w:cs="Arial"/>
          <w:sz w:val="20"/>
          <w:szCs w:val="20"/>
        </w:rPr>
        <w:t>e</w:t>
      </w:r>
      <w:r w:rsidR="00BB09E2" w:rsidRPr="005C158A">
        <w:rPr>
          <w:rFonts w:ascii="Arial" w:hAnsi="Arial" w:cs="Arial"/>
          <w:sz w:val="20"/>
          <w:szCs w:val="20"/>
        </w:rPr>
        <w:t xml:space="preserve"> zasad</w:t>
      </w:r>
      <w:r w:rsidR="004B4707" w:rsidRPr="005C158A">
        <w:rPr>
          <w:rFonts w:ascii="Arial" w:hAnsi="Arial" w:cs="Arial"/>
          <w:sz w:val="20"/>
          <w:szCs w:val="20"/>
        </w:rPr>
        <w:t>y</w:t>
      </w:r>
      <w:r w:rsidR="00BB09E2" w:rsidRPr="005C158A">
        <w:rPr>
          <w:rFonts w:ascii="Arial" w:hAnsi="Arial" w:cs="Arial"/>
          <w:sz w:val="20"/>
          <w:szCs w:val="20"/>
        </w:rPr>
        <w:t xml:space="preserve"> wykonywania działalności gospodarczej w Polsce</w:t>
      </w:r>
      <w:r w:rsidR="00B145E3" w:rsidRPr="005C158A">
        <w:rPr>
          <w:rFonts w:ascii="Arial" w:hAnsi="Arial" w:cs="Arial"/>
          <w:sz w:val="20"/>
          <w:szCs w:val="20"/>
        </w:rPr>
        <w:t xml:space="preserve"> tworząc korzystne, przejrzyste i stabilne warunki do wykonywania działalności gospodarczej oraz wzmacniając gwarancje wolności i praw przedsiębiorców. </w:t>
      </w:r>
      <w:r w:rsidR="002759C8" w:rsidRPr="005C158A">
        <w:rPr>
          <w:rFonts w:ascii="Arial" w:hAnsi="Arial" w:cs="Arial"/>
          <w:sz w:val="20"/>
          <w:szCs w:val="20"/>
        </w:rPr>
        <w:t>Zastosowane rozwiązania doprowadziły do</w:t>
      </w:r>
      <w:r w:rsidR="00BB09E2" w:rsidRPr="005C158A">
        <w:rPr>
          <w:rFonts w:ascii="Arial" w:hAnsi="Arial" w:cs="Arial"/>
          <w:sz w:val="20"/>
          <w:szCs w:val="20"/>
        </w:rPr>
        <w:t xml:space="preserve"> zmniejszeni</w:t>
      </w:r>
      <w:r w:rsidR="002759C8" w:rsidRPr="005C158A">
        <w:rPr>
          <w:rFonts w:ascii="Arial" w:hAnsi="Arial" w:cs="Arial"/>
          <w:sz w:val="20"/>
          <w:szCs w:val="20"/>
        </w:rPr>
        <w:t>a</w:t>
      </w:r>
      <w:r w:rsidR="00BB09E2" w:rsidRPr="005C158A">
        <w:rPr>
          <w:rFonts w:ascii="Arial" w:hAnsi="Arial" w:cs="Arial"/>
          <w:sz w:val="20"/>
          <w:szCs w:val="20"/>
        </w:rPr>
        <w:t xml:space="preserve"> ryzyka biznesowe</w:t>
      </w:r>
      <w:r w:rsidR="004B4707" w:rsidRPr="005C158A">
        <w:rPr>
          <w:rFonts w:ascii="Arial" w:hAnsi="Arial" w:cs="Arial"/>
          <w:sz w:val="20"/>
          <w:szCs w:val="20"/>
        </w:rPr>
        <w:t>go</w:t>
      </w:r>
      <w:r w:rsidR="00BB09E2" w:rsidRPr="005C158A">
        <w:rPr>
          <w:rFonts w:ascii="Arial" w:hAnsi="Arial" w:cs="Arial"/>
          <w:sz w:val="20"/>
          <w:szCs w:val="20"/>
        </w:rPr>
        <w:t xml:space="preserve"> oraz zwiększeni</w:t>
      </w:r>
      <w:r w:rsidR="002759C8" w:rsidRPr="005C158A">
        <w:rPr>
          <w:rFonts w:ascii="Arial" w:hAnsi="Arial" w:cs="Arial"/>
          <w:sz w:val="20"/>
          <w:szCs w:val="20"/>
        </w:rPr>
        <w:t>a</w:t>
      </w:r>
      <w:r w:rsidR="00BB09E2" w:rsidRPr="005C158A">
        <w:rPr>
          <w:rFonts w:ascii="Arial" w:hAnsi="Arial" w:cs="Arial"/>
          <w:sz w:val="20"/>
          <w:szCs w:val="20"/>
        </w:rPr>
        <w:t xml:space="preserve"> chęci przedsiębiorców do podejmowania i wykonywania działalności gospodarczej</w:t>
      </w:r>
      <w:r w:rsidR="002759C8" w:rsidRPr="005C158A">
        <w:rPr>
          <w:rFonts w:ascii="Arial" w:hAnsi="Arial" w:cs="Arial"/>
          <w:sz w:val="20"/>
          <w:szCs w:val="20"/>
        </w:rPr>
        <w:t>.</w:t>
      </w:r>
    </w:p>
    <w:p w14:paraId="6B8D3674" w14:textId="3035E7CB" w:rsidR="00821D42" w:rsidRPr="005C158A" w:rsidRDefault="00821D42" w:rsidP="0011422D">
      <w:pPr>
        <w:pStyle w:val="Akapitzlist"/>
        <w:numPr>
          <w:ilvl w:val="0"/>
          <w:numId w:val="9"/>
        </w:numPr>
        <w:spacing w:before="120" w:after="120" w:line="360" w:lineRule="auto"/>
        <w:ind w:left="0" w:firstLine="1"/>
        <w:contextualSpacing w:val="0"/>
        <w:jc w:val="both"/>
        <w:rPr>
          <w:rFonts w:ascii="Arial" w:hAnsi="Arial" w:cs="Arial"/>
          <w:sz w:val="20"/>
          <w:szCs w:val="20"/>
        </w:rPr>
      </w:pPr>
      <w:r w:rsidRPr="005C158A">
        <w:rPr>
          <w:rFonts w:ascii="Arial" w:hAnsi="Arial" w:cs="Arial"/>
          <w:sz w:val="20"/>
          <w:szCs w:val="20"/>
        </w:rPr>
        <w:t>pakiet „100 zmian dla firm – Pakiet ułatwień dla przedsiębiorców</w:t>
      </w:r>
      <w:r w:rsidR="006051A4" w:rsidRPr="005C158A">
        <w:rPr>
          <w:rFonts w:ascii="Arial" w:hAnsi="Arial" w:cs="Arial"/>
          <w:sz w:val="20"/>
          <w:szCs w:val="20"/>
        </w:rPr>
        <w:t>” zawierając</w:t>
      </w:r>
      <w:r w:rsidR="004B4707" w:rsidRPr="005C158A">
        <w:rPr>
          <w:rFonts w:ascii="Arial" w:hAnsi="Arial" w:cs="Arial"/>
          <w:sz w:val="20"/>
          <w:szCs w:val="20"/>
        </w:rPr>
        <w:t>y</w:t>
      </w:r>
      <w:r w:rsidRPr="005C158A">
        <w:rPr>
          <w:rFonts w:ascii="Arial" w:hAnsi="Arial" w:cs="Arial"/>
          <w:sz w:val="20"/>
          <w:szCs w:val="20"/>
        </w:rPr>
        <w:t xml:space="preserve"> m.in. ustaw</w:t>
      </w:r>
      <w:r w:rsidR="006051A4" w:rsidRPr="005C158A">
        <w:rPr>
          <w:rFonts w:ascii="Arial" w:hAnsi="Arial" w:cs="Arial"/>
          <w:sz w:val="20"/>
          <w:szCs w:val="20"/>
        </w:rPr>
        <w:t>ę</w:t>
      </w:r>
      <w:r w:rsidRPr="005C158A">
        <w:rPr>
          <w:rFonts w:ascii="Arial" w:hAnsi="Arial" w:cs="Arial"/>
          <w:sz w:val="20"/>
          <w:szCs w:val="20"/>
        </w:rPr>
        <w:t xml:space="preserve"> z dnia 7</w:t>
      </w:r>
      <w:r w:rsidR="00295358" w:rsidRPr="005C158A">
        <w:rPr>
          <w:rFonts w:ascii="Arial" w:hAnsi="Arial" w:cs="Arial"/>
          <w:sz w:val="20"/>
          <w:szCs w:val="20"/>
        </w:rPr>
        <w:t> </w:t>
      </w:r>
      <w:r w:rsidRPr="005C158A">
        <w:rPr>
          <w:rFonts w:ascii="Arial" w:hAnsi="Arial" w:cs="Arial"/>
          <w:sz w:val="20"/>
          <w:szCs w:val="20"/>
        </w:rPr>
        <w:t>kwietnia 2017 r. o zmianie ustawy – Kodeks postępowania administracyjnego oraz niektórych innych ustaw, której celem było upowszechnieni</w:t>
      </w:r>
      <w:r w:rsidR="004B4707" w:rsidRPr="005C158A">
        <w:rPr>
          <w:rFonts w:ascii="Arial" w:hAnsi="Arial" w:cs="Arial"/>
          <w:sz w:val="20"/>
          <w:szCs w:val="20"/>
        </w:rPr>
        <w:t>e</w:t>
      </w:r>
      <w:r w:rsidRPr="005C158A">
        <w:rPr>
          <w:rFonts w:ascii="Arial" w:hAnsi="Arial" w:cs="Arial"/>
          <w:sz w:val="20"/>
          <w:szCs w:val="20"/>
        </w:rPr>
        <w:t xml:space="preserve"> partnerskiego podejścia administracji do obywateli i</w:t>
      </w:r>
      <w:r w:rsidR="00295358" w:rsidRPr="005C158A">
        <w:rPr>
          <w:rFonts w:ascii="Arial" w:hAnsi="Arial" w:cs="Arial"/>
          <w:sz w:val="20"/>
          <w:szCs w:val="20"/>
        </w:rPr>
        <w:t> </w:t>
      </w:r>
      <w:r w:rsidRPr="005C158A">
        <w:rPr>
          <w:rFonts w:ascii="Arial" w:hAnsi="Arial" w:cs="Arial"/>
          <w:sz w:val="20"/>
          <w:szCs w:val="20"/>
        </w:rPr>
        <w:t>współpracy między organami czy usprawnieni</w:t>
      </w:r>
      <w:r w:rsidR="004B4707" w:rsidRPr="005C158A">
        <w:rPr>
          <w:rFonts w:ascii="Arial" w:hAnsi="Arial" w:cs="Arial"/>
          <w:sz w:val="20"/>
          <w:szCs w:val="20"/>
        </w:rPr>
        <w:t>e</w:t>
      </w:r>
      <w:r w:rsidRPr="005C158A">
        <w:rPr>
          <w:rFonts w:ascii="Arial" w:hAnsi="Arial" w:cs="Arial"/>
          <w:sz w:val="20"/>
          <w:szCs w:val="20"/>
        </w:rPr>
        <w:t xml:space="preserve"> i przyspieszeni</w:t>
      </w:r>
      <w:r w:rsidR="004B4707" w:rsidRPr="005C158A">
        <w:rPr>
          <w:rFonts w:ascii="Arial" w:hAnsi="Arial" w:cs="Arial"/>
          <w:sz w:val="20"/>
          <w:szCs w:val="20"/>
        </w:rPr>
        <w:t>e</w:t>
      </w:r>
      <w:r w:rsidRPr="005C158A">
        <w:rPr>
          <w:rFonts w:ascii="Arial" w:hAnsi="Arial" w:cs="Arial"/>
          <w:sz w:val="20"/>
          <w:szCs w:val="20"/>
        </w:rPr>
        <w:t xml:space="preserve"> procedur;</w:t>
      </w:r>
    </w:p>
    <w:p w14:paraId="3F33AE87" w14:textId="28EC8040" w:rsidR="00821D42" w:rsidRPr="005C158A" w:rsidRDefault="006051A4" w:rsidP="0011422D">
      <w:pPr>
        <w:pStyle w:val="Akapitzlist"/>
        <w:numPr>
          <w:ilvl w:val="0"/>
          <w:numId w:val="9"/>
        </w:numPr>
        <w:spacing w:before="120" w:after="120" w:line="360" w:lineRule="auto"/>
        <w:ind w:left="0" w:firstLine="1"/>
        <w:contextualSpacing w:val="0"/>
        <w:jc w:val="both"/>
        <w:rPr>
          <w:rFonts w:ascii="Arial" w:hAnsi="Arial" w:cs="Arial"/>
          <w:sz w:val="20"/>
          <w:szCs w:val="20"/>
        </w:rPr>
      </w:pPr>
      <w:r w:rsidRPr="005C158A">
        <w:rPr>
          <w:rFonts w:ascii="Arial" w:hAnsi="Arial" w:cs="Arial"/>
          <w:sz w:val="20"/>
          <w:szCs w:val="20"/>
        </w:rPr>
        <w:t>u</w:t>
      </w:r>
      <w:r w:rsidR="00821D42" w:rsidRPr="005C158A">
        <w:rPr>
          <w:rFonts w:ascii="Arial" w:hAnsi="Arial" w:cs="Arial"/>
          <w:sz w:val="20"/>
          <w:szCs w:val="20"/>
        </w:rPr>
        <w:t xml:space="preserve">stawa </w:t>
      </w:r>
      <w:bookmarkStart w:id="1" w:name="highlightHit_7"/>
      <w:bookmarkEnd w:id="1"/>
      <w:r w:rsidR="00821D42" w:rsidRPr="005C158A">
        <w:rPr>
          <w:rFonts w:ascii="Arial" w:hAnsi="Arial" w:cs="Arial"/>
          <w:sz w:val="20"/>
          <w:szCs w:val="20"/>
        </w:rPr>
        <w:t xml:space="preserve">z 5 lipca 2018 r. o </w:t>
      </w:r>
      <w:bookmarkStart w:id="2" w:name="highlightHit_8"/>
      <w:bookmarkEnd w:id="2"/>
      <w:r w:rsidR="00821D42" w:rsidRPr="005C158A">
        <w:rPr>
          <w:rFonts w:ascii="Arial" w:hAnsi="Arial" w:cs="Arial"/>
          <w:sz w:val="20"/>
          <w:szCs w:val="20"/>
        </w:rPr>
        <w:t xml:space="preserve">zarządzie </w:t>
      </w:r>
      <w:bookmarkStart w:id="3" w:name="highlightHit_9"/>
      <w:bookmarkEnd w:id="3"/>
      <w:r w:rsidR="00821D42" w:rsidRPr="005C158A">
        <w:rPr>
          <w:rFonts w:ascii="Arial" w:hAnsi="Arial" w:cs="Arial"/>
          <w:sz w:val="20"/>
          <w:szCs w:val="20"/>
        </w:rPr>
        <w:t xml:space="preserve">sukcesyjnym </w:t>
      </w:r>
      <w:bookmarkStart w:id="4" w:name="highlightHit_10"/>
      <w:bookmarkEnd w:id="4"/>
      <w:r w:rsidR="00821D42" w:rsidRPr="005C158A">
        <w:rPr>
          <w:rFonts w:ascii="Arial" w:hAnsi="Arial" w:cs="Arial"/>
          <w:sz w:val="20"/>
          <w:szCs w:val="20"/>
        </w:rPr>
        <w:t xml:space="preserve">przedsiębiorstwem </w:t>
      </w:r>
      <w:bookmarkStart w:id="5" w:name="highlightHit_11"/>
      <w:bookmarkEnd w:id="5"/>
      <w:r w:rsidR="00821D42" w:rsidRPr="005C158A">
        <w:rPr>
          <w:rFonts w:ascii="Arial" w:hAnsi="Arial" w:cs="Arial"/>
          <w:sz w:val="20"/>
          <w:szCs w:val="20"/>
        </w:rPr>
        <w:t xml:space="preserve">osoby </w:t>
      </w:r>
      <w:bookmarkStart w:id="6" w:name="highlightHit_12"/>
      <w:bookmarkEnd w:id="6"/>
      <w:r w:rsidR="00821D42" w:rsidRPr="005C158A">
        <w:rPr>
          <w:rFonts w:ascii="Arial" w:hAnsi="Arial" w:cs="Arial"/>
          <w:sz w:val="20"/>
          <w:szCs w:val="20"/>
        </w:rPr>
        <w:t>fizycznej i innych ułatwieniach związanych z sukcesją przedsiębiorstw, której celem było m.in. zapewnienie przedsiębiorcom będącym osobami fizycznymi warunków do zachowania ciągłości funkcjonowania przedsiębiorstwa po ich śmierci oraz wzmocnienie ochrony praw osób trzecich, związanych z</w:t>
      </w:r>
      <w:r w:rsidR="00295358" w:rsidRPr="005C158A">
        <w:rPr>
          <w:rFonts w:ascii="Arial" w:hAnsi="Arial" w:cs="Arial"/>
          <w:sz w:val="20"/>
          <w:szCs w:val="20"/>
        </w:rPr>
        <w:t> </w:t>
      </w:r>
      <w:r w:rsidR="00821D42" w:rsidRPr="005C158A">
        <w:rPr>
          <w:rFonts w:ascii="Arial" w:hAnsi="Arial" w:cs="Arial"/>
          <w:sz w:val="20"/>
          <w:szCs w:val="20"/>
        </w:rPr>
        <w:t>prowadzeniem przedsiębiorstwa.</w:t>
      </w:r>
    </w:p>
    <w:p w14:paraId="01819E19" w14:textId="1F0A2F17" w:rsidR="00182F28" w:rsidRPr="005C158A" w:rsidRDefault="00F22DC3"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Wprowadzone ustawy okazały się bardzo ważne dla </w:t>
      </w:r>
      <w:r w:rsidR="00210172" w:rsidRPr="005C158A">
        <w:rPr>
          <w:rFonts w:ascii="Arial" w:hAnsi="Arial" w:cs="Arial"/>
          <w:sz w:val="20"/>
          <w:szCs w:val="20"/>
        </w:rPr>
        <w:t xml:space="preserve">ułatwienia </w:t>
      </w:r>
      <w:r w:rsidRPr="005C158A">
        <w:rPr>
          <w:rFonts w:ascii="Arial" w:hAnsi="Arial" w:cs="Arial"/>
          <w:sz w:val="20"/>
          <w:szCs w:val="20"/>
        </w:rPr>
        <w:t>prowadzenia działalności gospodarczej w Polsce</w:t>
      </w:r>
      <w:r w:rsidR="00210172" w:rsidRPr="005C158A">
        <w:rPr>
          <w:rFonts w:ascii="Arial" w:hAnsi="Arial" w:cs="Arial"/>
          <w:sz w:val="20"/>
          <w:szCs w:val="20"/>
        </w:rPr>
        <w:t xml:space="preserve">. </w:t>
      </w:r>
      <w:r w:rsidR="00182F28" w:rsidRPr="005C158A">
        <w:rPr>
          <w:rFonts w:ascii="Arial" w:hAnsi="Arial" w:cs="Arial"/>
          <w:sz w:val="20"/>
          <w:szCs w:val="20"/>
        </w:rPr>
        <w:t>Można je uznać jako jeden z centralnych elementów przebudowy i reformy prawno-instytucjonalnego otoczenia przedsiębiorców oraz wykonywanej przez nich działalności gospodarczej.</w:t>
      </w:r>
    </w:p>
    <w:p w14:paraId="625A55B5" w14:textId="7F13DDE7" w:rsidR="00F22DC3" w:rsidRPr="005C158A" w:rsidRDefault="00210172"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Jednak </w:t>
      </w:r>
      <w:r w:rsidR="008B7314" w:rsidRPr="005C158A">
        <w:rPr>
          <w:rFonts w:ascii="Arial" w:hAnsi="Arial" w:cs="Arial"/>
          <w:sz w:val="20"/>
          <w:szCs w:val="20"/>
        </w:rPr>
        <w:t xml:space="preserve">polska administracja nie poprzestaje jedynie </w:t>
      </w:r>
      <w:r w:rsidR="00F22DC3" w:rsidRPr="005C158A">
        <w:rPr>
          <w:rFonts w:ascii="Arial" w:hAnsi="Arial" w:cs="Arial"/>
          <w:sz w:val="20"/>
          <w:szCs w:val="20"/>
        </w:rPr>
        <w:t>na wdr</w:t>
      </w:r>
      <w:r w:rsidR="008B7314" w:rsidRPr="005C158A">
        <w:rPr>
          <w:rFonts w:ascii="Arial" w:hAnsi="Arial" w:cs="Arial"/>
          <w:sz w:val="20"/>
          <w:szCs w:val="20"/>
        </w:rPr>
        <w:t>a</w:t>
      </w:r>
      <w:r w:rsidR="00F22DC3" w:rsidRPr="005C158A">
        <w:rPr>
          <w:rFonts w:ascii="Arial" w:hAnsi="Arial" w:cs="Arial"/>
          <w:sz w:val="20"/>
          <w:szCs w:val="20"/>
        </w:rPr>
        <w:t>ż</w:t>
      </w:r>
      <w:r w:rsidR="008B7314" w:rsidRPr="005C158A">
        <w:rPr>
          <w:rFonts w:ascii="Arial" w:hAnsi="Arial" w:cs="Arial"/>
          <w:sz w:val="20"/>
          <w:szCs w:val="20"/>
        </w:rPr>
        <w:t>a</w:t>
      </w:r>
      <w:r w:rsidR="00F22DC3" w:rsidRPr="005C158A">
        <w:rPr>
          <w:rFonts w:ascii="Arial" w:hAnsi="Arial" w:cs="Arial"/>
          <w:sz w:val="20"/>
          <w:szCs w:val="20"/>
        </w:rPr>
        <w:t>niu przepisów</w:t>
      </w:r>
      <w:r w:rsidRPr="005C158A">
        <w:rPr>
          <w:rFonts w:ascii="Arial" w:hAnsi="Arial" w:cs="Arial"/>
          <w:sz w:val="20"/>
          <w:szCs w:val="20"/>
        </w:rPr>
        <w:t>.</w:t>
      </w:r>
      <w:r w:rsidR="00F22DC3" w:rsidRPr="005C158A">
        <w:rPr>
          <w:rFonts w:ascii="Arial" w:hAnsi="Arial" w:cs="Arial"/>
          <w:sz w:val="20"/>
          <w:szCs w:val="20"/>
        </w:rPr>
        <w:t xml:space="preserve"> </w:t>
      </w:r>
      <w:r w:rsidR="008B7314" w:rsidRPr="005C158A">
        <w:rPr>
          <w:rFonts w:ascii="Arial" w:hAnsi="Arial" w:cs="Arial"/>
          <w:sz w:val="20"/>
          <w:szCs w:val="20"/>
        </w:rPr>
        <w:t>W ostatnich latach c</w:t>
      </w:r>
      <w:r w:rsidR="00F22DC3" w:rsidRPr="005C158A">
        <w:rPr>
          <w:rFonts w:ascii="Arial" w:hAnsi="Arial" w:cs="Arial"/>
          <w:sz w:val="20"/>
          <w:szCs w:val="20"/>
        </w:rPr>
        <w:t xml:space="preserve">ały czas aktywnie monitorowano ich działanie i stosowanie. </w:t>
      </w:r>
    </w:p>
    <w:p w14:paraId="1B084A74" w14:textId="64BD3EC0" w:rsidR="00210172" w:rsidRPr="005C158A" w:rsidRDefault="00210172"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Warto w tym miejscu wspomnieć przyjęty 22 czerwca 2022 r. przez Radę Ministrów </w:t>
      </w:r>
      <w:r w:rsidR="00C269C9" w:rsidRPr="005C158A">
        <w:rPr>
          <w:rFonts w:ascii="Arial" w:hAnsi="Arial" w:cs="Arial"/>
          <w:sz w:val="20"/>
          <w:szCs w:val="20"/>
        </w:rPr>
        <w:t xml:space="preserve">dokument pt. </w:t>
      </w:r>
      <w:r w:rsidR="00C269C9" w:rsidRPr="005C158A">
        <w:rPr>
          <w:rFonts w:ascii="Arial" w:hAnsi="Arial" w:cs="Arial"/>
          <w:i/>
          <w:iCs/>
          <w:sz w:val="20"/>
          <w:szCs w:val="20"/>
        </w:rPr>
        <w:t>Ocena funkcjonowania ustaw pakietu tzw. Konstytucji biznesu (OSR ex post).</w:t>
      </w:r>
      <w:r w:rsidRPr="005C158A">
        <w:rPr>
          <w:rFonts w:ascii="Arial" w:hAnsi="Arial" w:cs="Arial"/>
          <w:i/>
          <w:iCs/>
          <w:sz w:val="20"/>
          <w:szCs w:val="20"/>
        </w:rPr>
        <w:t xml:space="preserve"> </w:t>
      </w:r>
      <w:r w:rsidRPr="005C158A">
        <w:rPr>
          <w:rFonts w:ascii="Arial" w:hAnsi="Arial" w:cs="Arial"/>
          <w:sz w:val="20"/>
          <w:szCs w:val="20"/>
        </w:rPr>
        <w:t xml:space="preserve">Z dokumentu wynika m.in., że </w:t>
      </w:r>
      <w:r w:rsidR="00C269C9" w:rsidRPr="005C158A">
        <w:rPr>
          <w:rFonts w:ascii="Arial" w:hAnsi="Arial" w:cs="Arial"/>
          <w:sz w:val="20"/>
          <w:szCs w:val="20"/>
        </w:rPr>
        <w:t xml:space="preserve"> </w:t>
      </w:r>
      <w:r w:rsidRPr="005C158A">
        <w:rPr>
          <w:rFonts w:ascii="Arial" w:hAnsi="Arial" w:cs="Arial"/>
          <w:sz w:val="20"/>
          <w:szCs w:val="20"/>
        </w:rPr>
        <w:t xml:space="preserve">rozwiązania wprowadzone Konstytucją biznesu przyczyniły się do pozytywnej zmiany dla funkcjonowania przedsiębiorców. Zaobserwowano zwiększenie roli przedsiębiorcy w obrocie gospodarczym, lepszą ochronę praw przedsiębiorców, kierowanie się przez sądy powszechne, jak również urzędy zasadami takimi jak rozstrzyganie wątpliwości na korzyść przedsiębiorcy. </w:t>
      </w:r>
    </w:p>
    <w:p w14:paraId="5303745C" w14:textId="7F4E1DA4" w:rsidR="00182F28" w:rsidRPr="005C158A" w:rsidRDefault="009F47C1"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Pakiet </w:t>
      </w:r>
      <w:r w:rsidRPr="005C158A">
        <w:rPr>
          <w:rFonts w:ascii="Arial" w:hAnsi="Arial" w:cs="Arial"/>
          <w:i/>
          <w:iCs/>
          <w:sz w:val="20"/>
          <w:szCs w:val="20"/>
        </w:rPr>
        <w:t>Konstytucja biznesu</w:t>
      </w:r>
      <w:r w:rsidRPr="005C158A">
        <w:rPr>
          <w:rFonts w:ascii="Arial" w:hAnsi="Arial" w:cs="Arial"/>
          <w:sz w:val="20"/>
          <w:szCs w:val="20"/>
        </w:rPr>
        <w:t xml:space="preserve"> wyeliminował niektóre bariery prawne w prowadzeniu działalności gospodarczej oraz wdrożył instrumenty, które uznawane są za wspierające przedsiębiorczość i</w:t>
      </w:r>
      <w:r w:rsidR="00295358" w:rsidRPr="005C158A">
        <w:rPr>
          <w:rFonts w:ascii="Arial" w:hAnsi="Arial" w:cs="Arial"/>
          <w:sz w:val="20"/>
          <w:szCs w:val="20"/>
        </w:rPr>
        <w:t> </w:t>
      </w:r>
      <w:r w:rsidRPr="005C158A">
        <w:rPr>
          <w:rFonts w:ascii="Arial" w:hAnsi="Arial" w:cs="Arial"/>
          <w:sz w:val="20"/>
          <w:szCs w:val="20"/>
        </w:rPr>
        <w:t xml:space="preserve">ułatwiające warunki wykonywania działalności gospodarczej. Z pewnością nie wyeliminował </w:t>
      </w:r>
      <w:r w:rsidR="008B7314" w:rsidRPr="005C158A">
        <w:rPr>
          <w:rFonts w:ascii="Arial" w:hAnsi="Arial" w:cs="Arial"/>
          <w:sz w:val="20"/>
          <w:szCs w:val="20"/>
        </w:rPr>
        <w:t xml:space="preserve">jednak </w:t>
      </w:r>
      <w:r w:rsidRPr="005C158A">
        <w:rPr>
          <w:rFonts w:ascii="Arial" w:hAnsi="Arial" w:cs="Arial"/>
          <w:sz w:val="20"/>
          <w:szCs w:val="20"/>
        </w:rPr>
        <w:t xml:space="preserve">wszystkich barier w zakresie przedsiębiorczości, dlatego oczekiwane są kolejne kroki w celu ułatwienia warunków dla przedsiębiorców. Po wejściu w życie przedmiotowego pakietu, </w:t>
      </w:r>
      <w:r w:rsidR="008B7314" w:rsidRPr="005C158A">
        <w:rPr>
          <w:rFonts w:ascii="Arial" w:hAnsi="Arial" w:cs="Arial"/>
          <w:sz w:val="20"/>
          <w:szCs w:val="20"/>
        </w:rPr>
        <w:t>zidentyfikowano</w:t>
      </w:r>
      <w:r w:rsidRPr="005C158A">
        <w:rPr>
          <w:rFonts w:ascii="Arial" w:hAnsi="Arial" w:cs="Arial"/>
          <w:sz w:val="20"/>
          <w:szCs w:val="20"/>
        </w:rPr>
        <w:t xml:space="preserve"> kolejne obszary wymagające usprawnienia. </w:t>
      </w:r>
    </w:p>
    <w:p w14:paraId="0F00DAF4" w14:textId="5A38C228" w:rsidR="00182F28" w:rsidRPr="005C158A" w:rsidRDefault="00182F28" w:rsidP="00401710">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Z kolei </w:t>
      </w:r>
      <w:r w:rsidR="008B7314" w:rsidRPr="005C158A">
        <w:rPr>
          <w:rFonts w:ascii="Arial" w:hAnsi="Arial" w:cs="Arial"/>
          <w:sz w:val="20"/>
          <w:szCs w:val="20"/>
        </w:rPr>
        <w:t xml:space="preserve">choć </w:t>
      </w:r>
      <w:r w:rsidRPr="005C158A">
        <w:rPr>
          <w:rFonts w:ascii="Arial" w:hAnsi="Arial" w:cs="Arial"/>
          <w:sz w:val="20"/>
          <w:szCs w:val="20"/>
        </w:rPr>
        <w:t>ustawa o zarządzie sukcesyjnym umożliwia następcom prawnym zmarłych przedsiębiorców kontynuowanie działalności gospodarczej do czasu ostatecznego uregulowania spraw</w:t>
      </w:r>
      <w:r w:rsidR="00830356" w:rsidRPr="005C158A">
        <w:rPr>
          <w:rFonts w:ascii="Arial" w:hAnsi="Arial" w:cs="Arial"/>
          <w:sz w:val="20"/>
          <w:szCs w:val="20"/>
        </w:rPr>
        <w:t xml:space="preserve"> </w:t>
      </w:r>
      <w:r w:rsidRPr="005C158A">
        <w:rPr>
          <w:rFonts w:ascii="Arial" w:hAnsi="Arial" w:cs="Arial"/>
          <w:sz w:val="20"/>
          <w:szCs w:val="20"/>
        </w:rPr>
        <w:t>spadkowych (działu spadku), to jednak nie rozwiązuje wszystkich problemów</w:t>
      </w:r>
      <w:r w:rsidR="00830356" w:rsidRPr="005C158A">
        <w:rPr>
          <w:rFonts w:ascii="Arial" w:hAnsi="Arial" w:cs="Arial"/>
          <w:sz w:val="20"/>
          <w:szCs w:val="20"/>
        </w:rPr>
        <w:t xml:space="preserve"> </w:t>
      </w:r>
      <w:r w:rsidRPr="005C158A">
        <w:rPr>
          <w:rFonts w:ascii="Arial" w:hAnsi="Arial" w:cs="Arial"/>
          <w:sz w:val="20"/>
          <w:szCs w:val="20"/>
        </w:rPr>
        <w:t>związanych z sukcesją</w:t>
      </w:r>
      <w:r w:rsidR="00830356" w:rsidRPr="005C158A">
        <w:rPr>
          <w:rFonts w:ascii="Arial" w:hAnsi="Arial" w:cs="Arial"/>
          <w:sz w:val="20"/>
          <w:szCs w:val="20"/>
        </w:rPr>
        <w:t xml:space="preserve"> i</w:t>
      </w:r>
      <w:r w:rsidR="00295358" w:rsidRPr="005C158A">
        <w:rPr>
          <w:rFonts w:ascii="Arial" w:hAnsi="Arial" w:cs="Arial"/>
          <w:sz w:val="20"/>
          <w:szCs w:val="20"/>
        </w:rPr>
        <w:t> </w:t>
      </w:r>
      <w:r w:rsidR="00830356" w:rsidRPr="005C158A">
        <w:rPr>
          <w:rFonts w:ascii="Arial" w:hAnsi="Arial" w:cs="Arial"/>
          <w:sz w:val="20"/>
          <w:szCs w:val="20"/>
        </w:rPr>
        <w:t xml:space="preserve">także wymaga zmian legislacyjnych. </w:t>
      </w:r>
      <w:r w:rsidR="0064375C" w:rsidRPr="005C158A">
        <w:rPr>
          <w:rFonts w:ascii="Arial" w:hAnsi="Arial" w:cs="Arial"/>
          <w:sz w:val="20"/>
          <w:szCs w:val="20"/>
        </w:rPr>
        <w:t>Wyniki oceny funkcjonowania tej ustawy zostały uwzględnione w OSR ex post, który 9 stycznia 2023 r. został przyjęty przez Radę Ministrów.</w:t>
      </w:r>
    </w:p>
    <w:p w14:paraId="4E7D5B23" w14:textId="33739E99" w:rsidR="0064375C" w:rsidRPr="005C158A" w:rsidRDefault="003B0FF3" w:rsidP="00401710">
      <w:pPr>
        <w:spacing w:before="120" w:after="120" w:line="360" w:lineRule="auto"/>
        <w:jc w:val="both"/>
        <w:rPr>
          <w:rFonts w:ascii="Arial" w:hAnsi="Arial" w:cs="Arial"/>
          <w:sz w:val="20"/>
          <w:szCs w:val="20"/>
        </w:rPr>
      </w:pPr>
      <w:r w:rsidRPr="005C158A">
        <w:rPr>
          <w:rFonts w:ascii="Arial" w:hAnsi="Arial" w:cs="Arial"/>
          <w:sz w:val="20"/>
          <w:szCs w:val="20"/>
        </w:rPr>
        <w:t>Podczas o</w:t>
      </w:r>
      <w:r w:rsidR="0064375C" w:rsidRPr="005C158A">
        <w:rPr>
          <w:rFonts w:ascii="Arial" w:hAnsi="Arial" w:cs="Arial"/>
          <w:sz w:val="20"/>
          <w:szCs w:val="20"/>
        </w:rPr>
        <w:t>cen</w:t>
      </w:r>
      <w:r w:rsidRPr="005C158A">
        <w:rPr>
          <w:rFonts w:ascii="Arial" w:hAnsi="Arial" w:cs="Arial"/>
          <w:sz w:val="20"/>
          <w:szCs w:val="20"/>
        </w:rPr>
        <w:t>y</w:t>
      </w:r>
      <w:r w:rsidR="0064375C" w:rsidRPr="005C158A">
        <w:rPr>
          <w:rFonts w:ascii="Arial" w:hAnsi="Arial" w:cs="Arial"/>
          <w:sz w:val="20"/>
          <w:szCs w:val="20"/>
        </w:rPr>
        <w:t xml:space="preserve"> funkcjonowania nowelizacji Kodeksu postępowania administracyjnego z 2017 r.</w:t>
      </w:r>
      <w:r w:rsidR="00BB1992" w:rsidRPr="005C158A">
        <w:rPr>
          <w:rFonts w:ascii="Arial" w:hAnsi="Arial" w:cs="Arial"/>
          <w:sz w:val="20"/>
          <w:szCs w:val="20"/>
        </w:rPr>
        <w:t>, przyjęt</w:t>
      </w:r>
      <w:r w:rsidRPr="005C158A">
        <w:rPr>
          <w:rFonts w:ascii="Arial" w:hAnsi="Arial" w:cs="Arial"/>
          <w:sz w:val="20"/>
          <w:szCs w:val="20"/>
        </w:rPr>
        <w:t>ej</w:t>
      </w:r>
      <w:r w:rsidR="00BB1992" w:rsidRPr="005C158A">
        <w:rPr>
          <w:rFonts w:ascii="Arial" w:hAnsi="Arial" w:cs="Arial"/>
          <w:sz w:val="20"/>
          <w:szCs w:val="20"/>
        </w:rPr>
        <w:t xml:space="preserve"> przez Radę Ministrów 13 września 2022 r.</w:t>
      </w:r>
      <w:r w:rsidRPr="005C158A">
        <w:rPr>
          <w:rFonts w:ascii="Arial" w:hAnsi="Arial" w:cs="Arial"/>
          <w:sz w:val="20"/>
          <w:szCs w:val="20"/>
        </w:rPr>
        <w:t>,</w:t>
      </w:r>
      <w:r w:rsidR="00BB1992" w:rsidRPr="005C158A">
        <w:rPr>
          <w:rFonts w:ascii="Arial" w:hAnsi="Arial" w:cs="Arial"/>
          <w:sz w:val="20"/>
          <w:szCs w:val="20"/>
        </w:rPr>
        <w:t xml:space="preserve"> </w:t>
      </w:r>
      <w:r w:rsidRPr="005C158A">
        <w:rPr>
          <w:rFonts w:ascii="Arial" w:hAnsi="Arial" w:cs="Arial"/>
          <w:sz w:val="20"/>
          <w:szCs w:val="20"/>
        </w:rPr>
        <w:t>zidentyfikowano</w:t>
      </w:r>
      <w:r w:rsidR="00BB1992" w:rsidRPr="005C158A">
        <w:rPr>
          <w:rFonts w:ascii="Arial" w:hAnsi="Arial" w:cs="Arial"/>
          <w:sz w:val="20"/>
          <w:szCs w:val="20"/>
        </w:rPr>
        <w:t xml:space="preserve"> natomiast </w:t>
      </w:r>
      <w:r w:rsidRPr="005C158A">
        <w:rPr>
          <w:rFonts w:ascii="Arial" w:hAnsi="Arial" w:cs="Arial"/>
          <w:sz w:val="20"/>
          <w:szCs w:val="20"/>
        </w:rPr>
        <w:t>potrzebę kolejnych zmian legislacyjnych związanych z funkcjonowaniem procedury administracyjnej</w:t>
      </w:r>
      <w:r w:rsidR="00B35EB9" w:rsidRPr="005C158A">
        <w:rPr>
          <w:rFonts w:ascii="Arial" w:hAnsi="Arial" w:cs="Arial"/>
          <w:sz w:val="20"/>
          <w:szCs w:val="20"/>
        </w:rPr>
        <w:t>.</w:t>
      </w:r>
    </w:p>
    <w:p w14:paraId="7D73A987" w14:textId="43BC2533" w:rsidR="00CD4C88" w:rsidRPr="005C158A" w:rsidRDefault="00182F28" w:rsidP="00401710">
      <w:pPr>
        <w:spacing w:before="120" w:after="120" w:line="360" w:lineRule="auto"/>
        <w:jc w:val="both"/>
        <w:rPr>
          <w:rStyle w:val="markedcontent"/>
          <w:rFonts w:ascii="Arial" w:hAnsi="Arial" w:cs="Arial"/>
          <w:sz w:val="20"/>
          <w:szCs w:val="20"/>
        </w:rPr>
      </w:pPr>
      <w:r w:rsidRPr="005C158A">
        <w:rPr>
          <w:rFonts w:ascii="Arial" w:hAnsi="Arial" w:cs="Arial"/>
          <w:sz w:val="20"/>
          <w:szCs w:val="20"/>
        </w:rPr>
        <w:t xml:space="preserve">W efekcie przeprowadzonych ewaluacji udało się zidentyfikować </w:t>
      </w:r>
      <w:r w:rsidR="00830356" w:rsidRPr="005C158A">
        <w:rPr>
          <w:rFonts w:ascii="Arial" w:hAnsi="Arial" w:cs="Arial"/>
          <w:sz w:val="20"/>
          <w:szCs w:val="20"/>
        </w:rPr>
        <w:t xml:space="preserve">różne </w:t>
      </w:r>
      <w:r w:rsidRPr="005C158A">
        <w:rPr>
          <w:rFonts w:ascii="Arial" w:hAnsi="Arial" w:cs="Arial"/>
          <w:sz w:val="20"/>
          <w:szCs w:val="20"/>
        </w:rPr>
        <w:t>obszary, w których można wprowadzić regulacje jeszcze skuteczniej broniące praw przedsiębiorców. Obszary te dotyczą tematyki</w:t>
      </w:r>
      <w:r w:rsidR="00830356" w:rsidRPr="005C158A">
        <w:rPr>
          <w:rFonts w:ascii="Arial" w:hAnsi="Arial" w:cs="Arial"/>
          <w:sz w:val="20"/>
          <w:szCs w:val="20"/>
        </w:rPr>
        <w:t xml:space="preserve"> m.in.</w:t>
      </w:r>
      <w:r w:rsidRPr="005C158A">
        <w:rPr>
          <w:rFonts w:ascii="Arial" w:hAnsi="Arial" w:cs="Arial"/>
          <w:sz w:val="20"/>
          <w:szCs w:val="20"/>
        </w:rPr>
        <w:t xml:space="preserve"> rozpoczynania aktywności ekonomicznej, prowadzenia firmy, sukcesji, a także zasad i sposobu stanowienia prawa gospodarczego. </w:t>
      </w:r>
    </w:p>
    <w:p w14:paraId="213963FE" w14:textId="4B1D2AD5" w:rsidR="00C269C9" w:rsidRPr="005C158A" w:rsidRDefault="00830356" w:rsidP="00401710">
      <w:pPr>
        <w:spacing w:before="120" w:after="120" w:line="360" w:lineRule="auto"/>
        <w:jc w:val="both"/>
        <w:rPr>
          <w:rFonts w:ascii="Arial" w:hAnsi="Arial" w:cs="Arial"/>
          <w:sz w:val="20"/>
          <w:szCs w:val="20"/>
        </w:rPr>
      </w:pPr>
      <w:r w:rsidRPr="005C158A">
        <w:rPr>
          <w:rFonts w:ascii="Arial" w:hAnsi="Arial" w:cs="Arial"/>
          <w:sz w:val="20"/>
          <w:szCs w:val="20"/>
        </w:rPr>
        <w:t>Mając na względzie, że „punktowego” uregulowania wymaga wiele zagadnień z kilkudziesięciu ustaw nie jest racjonalne przygotowywanie i procedowanie wielu aktów prawnych. Zamiast tego proponuje się jeden akt prawny, zawierając</w:t>
      </w:r>
      <w:r w:rsidR="0064375C" w:rsidRPr="005C158A">
        <w:rPr>
          <w:rFonts w:ascii="Arial" w:hAnsi="Arial" w:cs="Arial"/>
          <w:sz w:val="20"/>
          <w:szCs w:val="20"/>
        </w:rPr>
        <w:t>y</w:t>
      </w:r>
      <w:r w:rsidRPr="005C158A">
        <w:rPr>
          <w:rFonts w:ascii="Arial" w:hAnsi="Arial" w:cs="Arial"/>
          <w:sz w:val="20"/>
          <w:szCs w:val="20"/>
        </w:rPr>
        <w:t xml:space="preserve"> zmiany w kilkudziesięciu ustawach, dla których ideą przewodnią jest ulepszenie środowiska prawnego i instytucjonalnego dla przedsiębiorców. </w:t>
      </w:r>
    </w:p>
    <w:p w14:paraId="0602EFC4" w14:textId="70112170" w:rsidR="00245F91" w:rsidRPr="005C158A" w:rsidRDefault="00245F91" w:rsidP="00401710">
      <w:pPr>
        <w:spacing w:before="120" w:after="120" w:line="360" w:lineRule="auto"/>
        <w:jc w:val="both"/>
        <w:rPr>
          <w:rFonts w:ascii="Arial" w:hAnsi="Arial" w:cs="Arial"/>
          <w:sz w:val="20"/>
          <w:szCs w:val="20"/>
        </w:rPr>
      </w:pPr>
      <w:r w:rsidRPr="005C158A">
        <w:rPr>
          <w:rFonts w:ascii="Arial" w:hAnsi="Arial" w:cs="Arial"/>
          <w:sz w:val="20"/>
          <w:szCs w:val="20"/>
        </w:rPr>
        <w:t>Celem projektowanej ustawy jest wprowadzenie uproszczeń odnoszących się do każdego etapu istnienia i prowadzenia przedsiębiorstwa, tj. rozpoczynania działalności przez przedsiębiorcę, rozwoju jego przedsiębiorstwa w kolejnych latach oraz przekazania jej w ręce następców. Nowelizacja obejmie też przepisy dot</w:t>
      </w:r>
      <w:r w:rsidR="00A838C6" w:rsidRPr="005C158A">
        <w:rPr>
          <w:rFonts w:ascii="Arial" w:hAnsi="Arial" w:cs="Arial"/>
          <w:sz w:val="20"/>
          <w:szCs w:val="20"/>
        </w:rPr>
        <w:t>yczące</w:t>
      </w:r>
      <w:r w:rsidRPr="005C158A">
        <w:rPr>
          <w:rFonts w:ascii="Arial" w:hAnsi="Arial" w:cs="Arial"/>
          <w:sz w:val="20"/>
          <w:szCs w:val="20"/>
        </w:rPr>
        <w:t xml:space="preserve"> zasad stanowienia prawa gospodarczego. W związku z tym, że przyczyną zidentyfikowanych i opisanych problemów są konkretne przepisy prawne, które nakładają wymogi regulacyjne na obywateli i firmy, realizacja celu poprzez działania </w:t>
      </w:r>
      <w:proofErr w:type="spellStart"/>
      <w:r w:rsidRPr="005C158A">
        <w:rPr>
          <w:rFonts w:ascii="Arial" w:hAnsi="Arial" w:cs="Arial"/>
          <w:sz w:val="20"/>
          <w:szCs w:val="20"/>
        </w:rPr>
        <w:t>pozalegislacyjne</w:t>
      </w:r>
      <w:proofErr w:type="spellEnd"/>
      <w:r w:rsidRPr="005C158A">
        <w:rPr>
          <w:rFonts w:ascii="Arial" w:hAnsi="Arial" w:cs="Arial"/>
          <w:sz w:val="20"/>
          <w:szCs w:val="20"/>
        </w:rPr>
        <w:t xml:space="preserve"> w tym zakresie nie jest możliwa. Przeprowadzenie osobnej nowelizacji każdego z aktów prawnych, w których zidentyfikowano problemy, wydaje się działaniem nadmiarowym. </w:t>
      </w:r>
    </w:p>
    <w:p w14:paraId="39B4DA4A" w14:textId="41894521" w:rsidR="00245F91" w:rsidRPr="005C158A" w:rsidRDefault="00245F91"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Tym samym niniejszy projekt wpisuje się płynnie w grupę pro-przedsiębiorczych ustaw pakietowych, takich jak np. ustawa </w:t>
      </w:r>
      <w:r w:rsidR="008B7314" w:rsidRPr="005C158A">
        <w:rPr>
          <w:rFonts w:ascii="Arial" w:hAnsi="Arial" w:cs="Arial"/>
          <w:sz w:val="20"/>
          <w:szCs w:val="20"/>
        </w:rPr>
        <w:t xml:space="preserve">z dnia 9 listopada 2018 r. </w:t>
      </w:r>
      <w:r w:rsidRPr="005C158A">
        <w:rPr>
          <w:rFonts w:ascii="Arial" w:hAnsi="Arial" w:cs="Arial"/>
          <w:sz w:val="20"/>
          <w:szCs w:val="20"/>
        </w:rPr>
        <w:t xml:space="preserve">o zmianie niektórych ustaw w celu wprowadzenia uproszczeń dla przedsiębiorców w prawie podatkowym i gospodarczym </w:t>
      </w:r>
      <w:r w:rsidR="008B7314" w:rsidRPr="005C158A">
        <w:rPr>
          <w:rFonts w:ascii="Arial" w:hAnsi="Arial" w:cs="Arial"/>
          <w:sz w:val="20"/>
          <w:szCs w:val="20"/>
        </w:rPr>
        <w:t xml:space="preserve">(tzw. Pakiet MŚP) </w:t>
      </w:r>
      <w:r w:rsidRPr="005C158A">
        <w:rPr>
          <w:rFonts w:ascii="Arial" w:hAnsi="Arial" w:cs="Arial"/>
          <w:sz w:val="20"/>
          <w:szCs w:val="20"/>
        </w:rPr>
        <w:t xml:space="preserve">czy też ustawa </w:t>
      </w:r>
      <w:r w:rsidR="008B7314" w:rsidRPr="005C158A">
        <w:rPr>
          <w:rFonts w:ascii="Arial" w:hAnsi="Arial" w:cs="Arial"/>
          <w:sz w:val="20"/>
          <w:szCs w:val="20"/>
        </w:rPr>
        <w:t xml:space="preserve">z dnia 31 lipca 2019 r. </w:t>
      </w:r>
      <w:r w:rsidRPr="005C158A">
        <w:rPr>
          <w:rFonts w:ascii="Arial" w:hAnsi="Arial" w:cs="Arial"/>
          <w:sz w:val="20"/>
          <w:szCs w:val="20"/>
        </w:rPr>
        <w:t>o zmianie niektórych ustaw w celu ograniczenia obciążeń regulacyjnych</w:t>
      </w:r>
      <w:r w:rsidR="008B7314" w:rsidRPr="005C158A">
        <w:rPr>
          <w:rFonts w:ascii="Arial" w:hAnsi="Arial" w:cs="Arial"/>
          <w:sz w:val="20"/>
          <w:szCs w:val="20"/>
        </w:rPr>
        <w:t xml:space="preserve"> (tzw. Pakiet Przyjazne Prawo)</w:t>
      </w:r>
      <w:r w:rsidRPr="005C158A">
        <w:rPr>
          <w:rFonts w:ascii="Arial" w:hAnsi="Arial" w:cs="Arial"/>
          <w:sz w:val="20"/>
          <w:szCs w:val="20"/>
        </w:rPr>
        <w:t>.</w:t>
      </w:r>
    </w:p>
    <w:p w14:paraId="73C7C734" w14:textId="5C3CB4A8" w:rsidR="00413B5F" w:rsidRPr="005C158A" w:rsidRDefault="00245F91" w:rsidP="00401710">
      <w:pPr>
        <w:spacing w:before="120" w:after="120" w:line="360" w:lineRule="auto"/>
        <w:jc w:val="both"/>
        <w:rPr>
          <w:rFonts w:ascii="Arial" w:hAnsi="Arial" w:cs="Arial"/>
          <w:sz w:val="20"/>
          <w:szCs w:val="20"/>
        </w:rPr>
      </w:pPr>
      <w:r w:rsidRPr="005C158A">
        <w:rPr>
          <w:rFonts w:ascii="Arial" w:hAnsi="Arial" w:cs="Arial"/>
          <w:sz w:val="20"/>
          <w:szCs w:val="20"/>
        </w:rPr>
        <w:t>Celem proponowanych w projekcie rozwiązań jest zmniejszenie liczby nadmiernych wymogów regulacyjnych, co wygeneruje oszczędności czasowe i kosztowe po stronie obywateli i</w:t>
      </w:r>
      <w:r w:rsidR="00295358" w:rsidRPr="005C158A">
        <w:rPr>
          <w:rFonts w:ascii="Arial" w:hAnsi="Arial" w:cs="Arial"/>
          <w:sz w:val="20"/>
          <w:szCs w:val="20"/>
        </w:rPr>
        <w:t> </w:t>
      </w:r>
      <w:r w:rsidRPr="005C158A">
        <w:rPr>
          <w:rFonts w:ascii="Arial" w:hAnsi="Arial" w:cs="Arial"/>
          <w:sz w:val="20"/>
          <w:szCs w:val="20"/>
        </w:rPr>
        <w:t>przedsiębiorców. Rezultatem będą szybsze</w:t>
      </w:r>
      <w:r w:rsidR="00423250" w:rsidRPr="005C158A">
        <w:rPr>
          <w:rFonts w:ascii="Arial" w:hAnsi="Arial" w:cs="Arial"/>
          <w:sz w:val="20"/>
          <w:szCs w:val="20"/>
        </w:rPr>
        <w:t xml:space="preserve"> </w:t>
      </w:r>
      <w:r w:rsidRPr="005C158A">
        <w:rPr>
          <w:rFonts w:ascii="Arial" w:hAnsi="Arial" w:cs="Arial"/>
          <w:sz w:val="20"/>
          <w:szCs w:val="20"/>
        </w:rPr>
        <w:t>i sprawniejsze procedury administracyjne, co przełoży się również na efektywność pracy administracji publicznej. Przewiduje się, że podjęte działania będą stanowić pozytywny impuls dla przedsiębiorców oraz obywateli, istotnie wpływając na jakość życia i</w:t>
      </w:r>
      <w:r w:rsidR="00295358" w:rsidRPr="005C158A">
        <w:rPr>
          <w:rFonts w:ascii="Arial" w:hAnsi="Arial" w:cs="Arial"/>
          <w:sz w:val="20"/>
          <w:szCs w:val="20"/>
        </w:rPr>
        <w:t> </w:t>
      </w:r>
      <w:r w:rsidRPr="005C158A">
        <w:rPr>
          <w:rFonts w:ascii="Arial" w:hAnsi="Arial" w:cs="Arial"/>
          <w:sz w:val="20"/>
          <w:szCs w:val="20"/>
        </w:rPr>
        <w:t>poprawę warunków do podejmowania i wykonywania działalności gospodarczej.</w:t>
      </w:r>
    </w:p>
    <w:p w14:paraId="6A27298A" w14:textId="20405FFD" w:rsidR="00245F91" w:rsidRPr="005C158A" w:rsidRDefault="00413B5F"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tym sensie projekt ustawy stanowi kontynuację pomocy i wsparcia państwa polskiego dla biznesu, widocznych w szczególny sposób w ostatnich latach chociażby w związku z koniecznością przeciwdziałania skutkom pandemii COVID-19 oraz kryzysowi wywołanemu wojną na Ukrainie. Projekt </w:t>
      </w:r>
      <w:r w:rsidRPr="005C158A">
        <w:rPr>
          <w:rFonts w:ascii="Arial" w:hAnsi="Arial" w:cs="Arial"/>
          <w:sz w:val="20"/>
          <w:szCs w:val="20"/>
        </w:rPr>
        <w:lastRenderedPageBreak/>
        <w:t xml:space="preserve">skupia się jednak na rozwiązaniach o charakterze regulacyjnym i instytucjonalnym, nie zaś (bezpośrednio) finansowych. </w:t>
      </w:r>
      <w:r w:rsidR="00245F91" w:rsidRPr="005C158A">
        <w:rPr>
          <w:rFonts w:ascii="Arial" w:hAnsi="Arial" w:cs="Arial"/>
          <w:sz w:val="20"/>
          <w:szCs w:val="20"/>
        </w:rPr>
        <w:t xml:space="preserve">  </w:t>
      </w:r>
    </w:p>
    <w:p w14:paraId="7B71791B" w14:textId="432667CC" w:rsidR="00245F91" w:rsidRPr="005C158A" w:rsidRDefault="00245F91" w:rsidP="00401710">
      <w:pPr>
        <w:spacing w:before="120" w:after="120" w:line="360" w:lineRule="auto"/>
        <w:jc w:val="both"/>
        <w:rPr>
          <w:rFonts w:ascii="Arial" w:hAnsi="Arial" w:cs="Arial"/>
          <w:sz w:val="20"/>
          <w:szCs w:val="20"/>
        </w:rPr>
      </w:pPr>
      <w:r w:rsidRPr="005C158A">
        <w:rPr>
          <w:rFonts w:ascii="Arial" w:hAnsi="Arial" w:cs="Arial"/>
          <w:sz w:val="20"/>
          <w:szCs w:val="20"/>
        </w:rPr>
        <w:t>Biorąc powyższe pod uwagę, w projekcie przewidziane zostały przepisy zgrupowane w ramach 4</w:t>
      </w:r>
      <w:r w:rsidR="00295358" w:rsidRPr="005C158A">
        <w:rPr>
          <w:rFonts w:ascii="Arial" w:hAnsi="Arial" w:cs="Arial"/>
          <w:sz w:val="20"/>
          <w:szCs w:val="20"/>
        </w:rPr>
        <w:t> </w:t>
      </w:r>
      <w:r w:rsidRPr="005C158A">
        <w:rPr>
          <w:rFonts w:ascii="Arial" w:hAnsi="Arial" w:cs="Arial"/>
          <w:sz w:val="20"/>
          <w:szCs w:val="20"/>
        </w:rPr>
        <w:t>zasadniczych komponentów:</w:t>
      </w:r>
    </w:p>
    <w:p w14:paraId="4B40092D" w14:textId="77777777" w:rsidR="00245F91" w:rsidRPr="005C158A" w:rsidRDefault="00245F91" w:rsidP="0011422D">
      <w:pPr>
        <w:pStyle w:val="Akapitzlist"/>
        <w:numPr>
          <w:ilvl w:val="0"/>
          <w:numId w:val="11"/>
        </w:numPr>
        <w:spacing w:before="120" w:after="120" w:line="360" w:lineRule="auto"/>
        <w:ind w:left="0" w:hanging="11"/>
        <w:jc w:val="both"/>
        <w:rPr>
          <w:rFonts w:ascii="Arial" w:hAnsi="Arial" w:cs="Arial"/>
          <w:sz w:val="20"/>
          <w:szCs w:val="20"/>
        </w:rPr>
      </w:pPr>
      <w:r w:rsidRPr="005C158A">
        <w:rPr>
          <w:rFonts w:ascii="Arial" w:hAnsi="Arial" w:cs="Arial"/>
          <w:sz w:val="20"/>
          <w:szCs w:val="20"/>
        </w:rPr>
        <w:t>Ułatwienia przy podejmowaniu pierwszych kroków w biznesie;</w:t>
      </w:r>
    </w:p>
    <w:p w14:paraId="72ACF3AA" w14:textId="77777777" w:rsidR="00245F91" w:rsidRPr="005C158A" w:rsidRDefault="00245F91" w:rsidP="0011422D">
      <w:pPr>
        <w:pStyle w:val="Akapitzlist"/>
        <w:numPr>
          <w:ilvl w:val="0"/>
          <w:numId w:val="11"/>
        </w:numPr>
        <w:spacing w:before="120" w:after="120" w:line="360" w:lineRule="auto"/>
        <w:ind w:left="0" w:hanging="11"/>
        <w:jc w:val="both"/>
        <w:rPr>
          <w:rFonts w:ascii="Arial" w:hAnsi="Arial" w:cs="Arial"/>
          <w:sz w:val="20"/>
          <w:szCs w:val="20"/>
        </w:rPr>
      </w:pPr>
      <w:r w:rsidRPr="005C158A">
        <w:rPr>
          <w:rFonts w:ascii="Arial" w:hAnsi="Arial" w:cs="Arial"/>
          <w:sz w:val="20"/>
          <w:szCs w:val="20"/>
        </w:rPr>
        <w:t>Prostsze zasady wykonywania działalności gospodarczej;</w:t>
      </w:r>
    </w:p>
    <w:p w14:paraId="700CA54F" w14:textId="77777777" w:rsidR="00245F91" w:rsidRPr="005C158A" w:rsidRDefault="00245F91" w:rsidP="0011422D">
      <w:pPr>
        <w:pStyle w:val="Akapitzlist"/>
        <w:numPr>
          <w:ilvl w:val="0"/>
          <w:numId w:val="11"/>
        </w:numPr>
        <w:spacing w:before="120" w:after="120" w:line="360" w:lineRule="auto"/>
        <w:ind w:left="0" w:hanging="11"/>
        <w:jc w:val="both"/>
        <w:rPr>
          <w:rFonts w:ascii="Arial" w:hAnsi="Arial" w:cs="Arial"/>
          <w:sz w:val="20"/>
          <w:szCs w:val="20"/>
        </w:rPr>
      </w:pPr>
      <w:r w:rsidRPr="005C158A">
        <w:rPr>
          <w:rFonts w:ascii="Arial" w:hAnsi="Arial" w:cs="Arial"/>
          <w:sz w:val="20"/>
          <w:szCs w:val="20"/>
        </w:rPr>
        <w:t>Usprawnienia na rzecz sukcesji;</w:t>
      </w:r>
    </w:p>
    <w:p w14:paraId="361B8ACD" w14:textId="68BCB88E" w:rsidR="002052B8" w:rsidRPr="005C158A" w:rsidRDefault="00245F91" w:rsidP="0011422D">
      <w:pPr>
        <w:pStyle w:val="Akapitzlist"/>
        <w:numPr>
          <w:ilvl w:val="0"/>
          <w:numId w:val="11"/>
        </w:numPr>
        <w:spacing w:before="120" w:after="120" w:line="360" w:lineRule="auto"/>
        <w:ind w:left="0" w:hanging="11"/>
        <w:jc w:val="both"/>
        <w:rPr>
          <w:rFonts w:ascii="Arial" w:hAnsi="Arial" w:cs="Arial"/>
          <w:sz w:val="20"/>
          <w:szCs w:val="20"/>
        </w:rPr>
      </w:pPr>
      <w:r w:rsidRPr="005C158A">
        <w:rPr>
          <w:rFonts w:ascii="Arial" w:hAnsi="Arial" w:cs="Arial"/>
          <w:sz w:val="20"/>
          <w:szCs w:val="20"/>
        </w:rPr>
        <w:t>Prawo gospodarcze przyjazne przedsiębiorcom.</w:t>
      </w:r>
    </w:p>
    <w:p w14:paraId="2DD7AA5C" w14:textId="58EAECE8" w:rsidR="00DC6DF4" w:rsidRPr="005C158A" w:rsidRDefault="00DC6DF4" w:rsidP="00DC6DF4">
      <w:pPr>
        <w:spacing w:before="120" w:after="120" w:line="360" w:lineRule="auto"/>
        <w:jc w:val="both"/>
        <w:rPr>
          <w:rFonts w:ascii="Arial" w:hAnsi="Arial" w:cs="Arial"/>
          <w:sz w:val="20"/>
          <w:szCs w:val="20"/>
        </w:rPr>
      </w:pPr>
      <w:r w:rsidRPr="005C158A">
        <w:rPr>
          <w:rFonts w:ascii="Arial" w:hAnsi="Arial" w:cs="Arial"/>
          <w:sz w:val="20"/>
          <w:szCs w:val="20"/>
        </w:rPr>
        <w:t>Poza tym, projekt ustawy zawiera przepisy mające na celu zwiększenie transparentności rynku mieszkaniowego, poprzez utworzenie Portalu Cen Mieszkań, będącego źródłem informacji o transakcjach i cenach na rynku mieszkaniowym. Funkcjonowanie Portalu ma być</w:t>
      </w:r>
      <w:r w:rsidR="00807C5B" w:rsidRPr="005C158A">
        <w:rPr>
          <w:rFonts w:ascii="Arial" w:hAnsi="Arial" w:cs="Arial"/>
          <w:sz w:val="20"/>
          <w:szCs w:val="20"/>
        </w:rPr>
        <w:t>,</w:t>
      </w:r>
      <w:r w:rsidRPr="005C158A">
        <w:rPr>
          <w:rFonts w:ascii="Arial" w:hAnsi="Arial" w:cs="Arial"/>
          <w:sz w:val="20"/>
          <w:szCs w:val="20"/>
        </w:rPr>
        <w:t xml:space="preserve"> z jednej strony pomocne dla podmiotów gospodarczych, w tym deweloperów, ponieważ ułatwi im racjonalne planowanie i parametryzowanie inwestycji mieszkaniowych. Z drugiej strony Portal zwiększy zakres ochrony nabywców mieszkań, którzy będą mieli dostęp do wiarygodnych informacji o realnych cenach rynkowych.</w:t>
      </w:r>
    </w:p>
    <w:p w14:paraId="37E203D4" w14:textId="3F39E250" w:rsidR="0006198A" w:rsidRPr="005C158A" w:rsidRDefault="0058233B" w:rsidP="00401710">
      <w:pPr>
        <w:pStyle w:val="Nagwek1"/>
        <w:spacing w:before="120" w:after="120" w:line="360" w:lineRule="auto"/>
        <w:jc w:val="both"/>
        <w:rPr>
          <w:rFonts w:ascii="Arial" w:hAnsi="Arial" w:cs="Arial"/>
          <w:color w:val="auto"/>
          <w:sz w:val="20"/>
          <w:szCs w:val="20"/>
        </w:rPr>
      </w:pPr>
      <w:bookmarkStart w:id="7" w:name="_Toc138329743"/>
      <w:r w:rsidRPr="005C158A">
        <w:rPr>
          <w:rFonts w:ascii="Arial" w:hAnsi="Arial" w:cs="Arial"/>
          <w:color w:val="auto"/>
          <w:sz w:val="20"/>
          <w:szCs w:val="20"/>
        </w:rPr>
        <w:t>Aktualny stan prawny i p</w:t>
      </w:r>
      <w:r w:rsidR="0006198A" w:rsidRPr="005C158A">
        <w:rPr>
          <w:rFonts w:ascii="Arial" w:hAnsi="Arial" w:cs="Arial"/>
          <w:color w:val="auto"/>
          <w:sz w:val="20"/>
          <w:szCs w:val="20"/>
        </w:rPr>
        <w:t>rojektowane zmiany</w:t>
      </w:r>
      <w:bookmarkEnd w:id="7"/>
    </w:p>
    <w:p w14:paraId="2AABE2AB" w14:textId="1FEB6B52" w:rsidR="00423250" w:rsidRPr="005C158A" w:rsidRDefault="00423250" w:rsidP="00401710">
      <w:pPr>
        <w:spacing w:before="120" w:after="120" w:line="360" w:lineRule="auto"/>
        <w:jc w:val="both"/>
        <w:rPr>
          <w:rFonts w:ascii="Arial" w:hAnsi="Arial" w:cs="Arial"/>
          <w:sz w:val="20"/>
          <w:szCs w:val="20"/>
        </w:rPr>
      </w:pPr>
      <w:r w:rsidRPr="005C158A">
        <w:rPr>
          <w:rFonts w:ascii="Arial" w:hAnsi="Arial" w:cs="Arial"/>
          <w:sz w:val="20"/>
          <w:szCs w:val="20"/>
        </w:rPr>
        <w:t>Poniżej przedstawiono uzasadnienie projektowanych zmian w poszczególnych ustawach w ujęciu chronologicznym.</w:t>
      </w:r>
    </w:p>
    <w:p w14:paraId="11577BE0" w14:textId="28553B74" w:rsidR="00833E6F" w:rsidRPr="005C158A" w:rsidRDefault="00423250" w:rsidP="00401710">
      <w:pPr>
        <w:pStyle w:val="Nagwek2"/>
        <w:spacing w:before="120" w:after="120" w:line="360" w:lineRule="auto"/>
        <w:jc w:val="both"/>
        <w:rPr>
          <w:rFonts w:ascii="Arial" w:hAnsi="Arial" w:cs="Arial"/>
          <w:color w:val="auto"/>
          <w:sz w:val="20"/>
          <w:szCs w:val="20"/>
        </w:rPr>
      </w:pPr>
      <w:bookmarkStart w:id="8" w:name="_Toc138329744"/>
      <w:r w:rsidRPr="005C158A">
        <w:rPr>
          <w:rFonts w:ascii="Arial" w:hAnsi="Arial" w:cs="Arial"/>
          <w:color w:val="auto"/>
          <w:sz w:val="20"/>
          <w:szCs w:val="20"/>
        </w:rPr>
        <w:t>Ustawa</w:t>
      </w:r>
      <w:r w:rsidR="00833E6F" w:rsidRPr="005C158A">
        <w:rPr>
          <w:rFonts w:ascii="Arial" w:hAnsi="Arial" w:cs="Arial"/>
          <w:color w:val="auto"/>
          <w:sz w:val="20"/>
          <w:szCs w:val="20"/>
        </w:rPr>
        <w:t xml:space="preserve"> z dnia 14 czerwca 1960 r. – Kodeks postępowania administracyjnego</w:t>
      </w:r>
      <w:bookmarkEnd w:id="8"/>
    </w:p>
    <w:p w14:paraId="442B4868" w14:textId="35DDD34A" w:rsidR="00617E2C" w:rsidRPr="005C158A" w:rsidRDefault="000D3642"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Współpraca z </w:t>
      </w:r>
      <w:r w:rsidR="00617E2C" w:rsidRPr="005C158A">
        <w:rPr>
          <w:rFonts w:ascii="Arial" w:hAnsi="Arial" w:cs="Arial"/>
          <w:sz w:val="20"/>
          <w:szCs w:val="20"/>
        </w:rPr>
        <w:t>organ</w:t>
      </w:r>
      <w:r w:rsidRPr="005C158A">
        <w:rPr>
          <w:rFonts w:ascii="Arial" w:hAnsi="Arial" w:cs="Arial"/>
          <w:sz w:val="20"/>
          <w:szCs w:val="20"/>
        </w:rPr>
        <w:t>ami</w:t>
      </w:r>
      <w:r w:rsidR="00617E2C" w:rsidRPr="005C158A">
        <w:rPr>
          <w:rFonts w:ascii="Arial" w:hAnsi="Arial" w:cs="Arial"/>
          <w:sz w:val="20"/>
          <w:szCs w:val="20"/>
        </w:rPr>
        <w:t xml:space="preserve"> władzy publicznej</w:t>
      </w:r>
      <w:r w:rsidR="00423250" w:rsidRPr="005C158A">
        <w:rPr>
          <w:rFonts w:ascii="Arial" w:hAnsi="Arial" w:cs="Arial"/>
          <w:sz w:val="20"/>
          <w:szCs w:val="20"/>
        </w:rPr>
        <w:t>.</w:t>
      </w:r>
      <w:r w:rsidR="00617E2C" w:rsidRPr="005C158A">
        <w:rPr>
          <w:rFonts w:ascii="Arial" w:hAnsi="Arial" w:cs="Arial"/>
          <w:sz w:val="20"/>
          <w:szCs w:val="20"/>
        </w:rPr>
        <w:t xml:space="preserve"> </w:t>
      </w:r>
    </w:p>
    <w:p w14:paraId="20C12DD9" w14:textId="0FE2C297" w:rsidR="00617E2C" w:rsidRPr="005C158A" w:rsidRDefault="00617E2C"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Zgodnie z obecnie obowiązującym </w:t>
      </w:r>
      <w:r w:rsidRPr="005C158A">
        <w:rPr>
          <w:rFonts w:ascii="Arial" w:hAnsi="Arial" w:cs="Arial"/>
          <w:b/>
          <w:bCs/>
          <w:sz w:val="20"/>
          <w:szCs w:val="20"/>
        </w:rPr>
        <w:t>art. 7b</w:t>
      </w:r>
      <w:r w:rsidRPr="005C158A">
        <w:rPr>
          <w:rFonts w:ascii="Arial" w:hAnsi="Arial" w:cs="Arial"/>
          <w:sz w:val="20"/>
          <w:szCs w:val="20"/>
        </w:rPr>
        <w:t xml:space="preserve"> </w:t>
      </w:r>
      <w:r w:rsidR="00423250" w:rsidRPr="005C158A">
        <w:rPr>
          <w:rFonts w:ascii="Arial" w:hAnsi="Arial" w:cs="Arial"/>
          <w:sz w:val="20"/>
          <w:szCs w:val="20"/>
        </w:rPr>
        <w:t>ustawy – Kodeks post</w:t>
      </w:r>
      <w:r w:rsidR="00527976" w:rsidRPr="005C158A">
        <w:rPr>
          <w:rFonts w:ascii="Arial" w:hAnsi="Arial" w:cs="Arial"/>
          <w:sz w:val="20"/>
          <w:szCs w:val="20"/>
        </w:rPr>
        <w:t>ę</w:t>
      </w:r>
      <w:r w:rsidR="00423250" w:rsidRPr="005C158A">
        <w:rPr>
          <w:rFonts w:ascii="Arial" w:hAnsi="Arial" w:cs="Arial"/>
          <w:sz w:val="20"/>
          <w:szCs w:val="20"/>
        </w:rPr>
        <w:t>powania administracyjnego (dalej: Kpa)</w:t>
      </w:r>
      <w:r w:rsidRPr="005C158A">
        <w:rPr>
          <w:rFonts w:ascii="Arial" w:hAnsi="Arial" w:cs="Arial"/>
          <w:sz w:val="20"/>
          <w:szCs w:val="20"/>
        </w:rPr>
        <w:t xml:space="preserve">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w:t>
      </w:r>
    </w:p>
    <w:p w14:paraId="4239C1F8" w14:textId="5E2EEE99" w:rsidR="002706D0" w:rsidRPr="005C158A" w:rsidRDefault="00376342" w:rsidP="002706D0">
      <w:pPr>
        <w:spacing w:before="120" w:after="120" w:line="360" w:lineRule="auto"/>
        <w:jc w:val="both"/>
        <w:rPr>
          <w:rFonts w:ascii="Arial" w:hAnsi="Arial" w:cs="Arial"/>
          <w:sz w:val="20"/>
          <w:szCs w:val="20"/>
        </w:rPr>
      </w:pPr>
      <w:r w:rsidRPr="005C158A">
        <w:rPr>
          <w:rFonts w:ascii="Arial" w:hAnsi="Arial" w:cs="Arial"/>
          <w:sz w:val="20"/>
          <w:szCs w:val="20"/>
        </w:rPr>
        <w:t>Proponuje się zmianę w</w:t>
      </w:r>
      <w:r w:rsidR="00617E2C" w:rsidRPr="005C158A">
        <w:rPr>
          <w:rFonts w:ascii="Arial" w:hAnsi="Arial" w:cs="Arial"/>
          <w:sz w:val="20"/>
          <w:szCs w:val="20"/>
        </w:rPr>
        <w:t xml:space="preserve"> art. 7b Kpa</w:t>
      </w:r>
      <w:r w:rsidR="00DF3E57" w:rsidRPr="005C158A">
        <w:rPr>
          <w:rFonts w:ascii="Arial" w:hAnsi="Arial" w:cs="Arial"/>
          <w:sz w:val="20"/>
          <w:szCs w:val="20"/>
        </w:rPr>
        <w:t xml:space="preserve">, która ma wyłącznie charakter doprecyzowujący, porządkujący i nie wprowadza nowych rozwiązań. </w:t>
      </w:r>
      <w:r w:rsidR="002706D0" w:rsidRPr="005C158A">
        <w:rPr>
          <w:rFonts w:ascii="Arial" w:hAnsi="Arial" w:cs="Arial"/>
          <w:sz w:val="20"/>
          <w:szCs w:val="20"/>
        </w:rPr>
        <w:t>Zmiana polega</w:t>
      </w:r>
      <w:r w:rsidR="00617E2C" w:rsidRPr="005C158A">
        <w:rPr>
          <w:rFonts w:ascii="Arial" w:hAnsi="Arial" w:cs="Arial"/>
          <w:sz w:val="20"/>
          <w:szCs w:val="20"/>
        </w:rPr>
        <w:t xml:space="preserve"> na </w:t>
      </w:r>
      <w:r w:rsidR="00DF5335" w:rsidRPr="005C158A">
        <w:rPr>
          <w:rFonts w:ascii="Arial" w:hAnsi="Arial" w:cs="Arial"/>
          <w:sz w:val="20"/>
          <w:szCs w:val="20"/>
        </w:rPr>
        <w:t xml:space="preserve">dodaniu zdania drugiego w tym przepisie i wskazaniu, że w toku postępowania organy administracji publicznej mogą również współdziałać z organami władzy publicznej,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t>
      </w:r>
      <w:r w:rsidR="002706D0" w:rsidRPr="005C158A">
        <w:rPr>
          <w:rFonts w:ascii="Arial" w:hAnsi="Arial" w:cs="Arial"/>
          <w:sz w:val="20"/>
          <w:szCs w:val="20"/>
        </w:rPr>
        <w:t xml:space="preserve">Jednocześnie wskazana norma zawiera jedynie zalecenie takiego współdziałania. </w:t>
      </w:r>
    </w:p>
    <w:p w14:paraId="1B987FE8" w14:textId="0B031C45" w:rsidR="00617E2C" w:rsidRPr="005C158A" w:rsidRDefault="00617E2C" w:rsidP="00401710">
      <w:pPr>
        <w:spacing w:before="120" w:after="120" w:line="360" w:lineRule="auto"/>
        <w:jc w:val="both"/>
        <w:rPr>
          <w:rFonts w:ascii="Arial" w:hAnsi="Arial" w:cs="Arial"/>
          <w:sz w:val="20"/>
          <w:szCs w:val="20"/>
        </w:rPr>
      </w:pPr>
      <w:r w:rsidRPr="005C158A">
        <w:rPr>
          <w:rFonts w:ascii="Arial" w:hAnsi="Arial" w:cs="Arial"/>
          <w:sz w:val="20"/>
          <w:szCs w:val="20"/>
        </w:rPr>
        <w:t>W trakcie prowadzonych postępowań administracyjnych często dochodzi do sytuacji, w których konieczne jest pozyskanie danych/dokumentów nie tylko od organów administracji publicznej</w:t>
      </w:r>
      <w:r w:rsidR="00413B5F" w:rsidRPr="005C158A">
        <w:rPr>
          <w:rFonts w:ascii="Arial" w:hAnsi="Arial" w:cs="Arial"/>
          <w:sz w:val="20"/>
          <w:szCs w:val="20"/>
        </w:rPr>
        <w:t>,</w:t>
      </w:r>
      <w:r w:rsidRPr="005C158A">
        <w:rPr>
          <w:rFonts w:ascii="Arial" w:hAnsi="Arial" w:cs="Arial"/>
          <w:sz w:val="20"/>
          <w:szCs w:val="20"/>
        </w:rPr>
        <w:t xml:space="preserve"> ale też od innych organów, np. sądów powszechnych czy administracyjnych.</w:t>
      </w:r>
    </w:p>
    <w:p w14:paraId="21C346C5" w14:textId="49845CE4" w:rsidR="002706D0" w:rsidRPr="005C158A" w:rsidRDefault="002706D0" w:rsidP="002706D0">
      <w:pPr>
        <w:spacing w:before="120" w:after="120" w:line="360" w:lineRule="auto"/>
        <w:jc w:val="both"/>
        <w:rPr>
          <w:rFonts w:ascii="Arial" w:hAnsi="Arial" w:cs="Arial"/>
          <w:sz w:val="20"/>
          <w:szCs w:val="20"/>
        </w:rPr>
      </w:pPr>
      <w:r w:rsidRPr="005C158A">
        <w:rPr>
          <w:rFonts w:ascii="Arial" w:hAnsi="Arial" w:cs="Arial"/>
          <w:sz w:val="20"/>
          <w:szCs w:val="20"/>
        </w:rPr>
        <w:lastRenderedPageBreak/>
        <w:t>Proponuje się również dodanie art. 7b</w:t>
      </w:r>
      <w:r w:rsidR="00807C5B" w:rsidRPr="005C158A">
        <w:rPr>
          <w:rFonts w:ascii="Arial" w:hAnsi="Arial" w:cs="Arial"/>
          <w:sz w:val="20"/>
          <w:szCs w:val="20"/>
        </w:rPr>
        <w:t xml:space="preserve"> §2</w:t>
      </w:r>
      <w:r w:rsidRPr="005C158A">
        <w:rPr>
          <w:rFonts w:ascii="Arial" w:hAnsi="Arial" w:cs="Arial"/>
          <w:sz w:val="20"/>
          <w:szCs w:val="20"/>
        </w:rPr>
        <w:t xml:space="preserve"> Kpa, w którym zdefiniowane zostały organy władzy publicznej, jako Sejm, Senat, Prezydenta Rzeczypospolitej Polskiej, sądy, trybunały oraz organy kontroli państwowej i ochrony prawa.  </w:t>
      </w:r>
    </w:p>
    <w:p w14:paraId="1FF41589" w14:textId="75EC7396" w:rsidR="007C38D4" w:rsidRPr="005C158A" w:rsidRDefault="007C38D4" w:rsidP="00401710">
      <w:pPr>
        <w:spacing w:before="120" w:after="120" w:line="360" w:lineRule="auto"/>
        <w:jc w:val="both"/>
        <w:rPr>
          <w:rFonts w:ascii="Arial" w:hAnsi="Arial" w:cs="Arial"/>
          <w:sz w:val="20"/>
          <w:szCs w:val="20"/>
        </w:rPr>
      </w:pPr>
      <w:r w:rsidRPr="005C158A">
        <w:rPr>
          <w:rFonts w:ascii="Arial" w:hAnsi="Arial" w:cs="Arial"/>
          <w:sz w:val="20"/>
          <w:szCs w:val="20"/>
        </w:rPr>
        <w:t>Jednocześnie przepis ten ma na celu uzupełnienie zasad obecnie wynikających z Kpa. Zgodnie z</w:t>
      </w:r>
      <w:r w:rsidR="00BF56D1" w:rsidRPr="005C158A">
        <w:rPr>
          <w:rFonts w:ascii="Arial" w:hAnsi="Arial" w:cs="Arial"/>
          <w:sz w:val="20"/>
          <w:szCs w:val="20"/>
        </w:rPr>
        <w:t> </w:t>
      </w:r>
      <w:r w:rsidRPr="005C158A">
        <w:rPr>
          <w:rFonts w:ascii="Arial" w:hAnsi="Arial" w:cs="Arial"/>
          <w:sz w:val="20"/>
          <w:szCs w:val="20"/>
        </w:rPr>
        <w:t>ogólnymi zasadami postępowania administracyjnego, organy administracji stoją na straży praworządności i podejmują kroki niezbędne do dokładnego ustalenia stanu faktycznego oraz do załatwienia sprawy, mając na względzie interes społeczny i słuszny interes obywateli (art. 7 Kpa). Organ administracji publicznej jest obowiązany w sposób wyczerpujący zebrać i rozpatrzyć cały materiał dowodowy (art. 77 § 1 Kpa) i dopiero na podstawie całokształtu materiału dowodowego ocenia, czy dana okoliczność została udowodniona (zasada swobodnej oceny dowodów - art. 80 Kpa). W związku z tym intencją jest, aby nowe brzmienie art. 7b Kpa przyczyniło się do pogłębienia i uszczegółowienia ww. zasad ogólnych. Dodatkowo należy zauważyć, że obowiązujące przypisy Kpa nie odnoszą się do kwestii związanych z pozyskiwaniem dokumentów od innych organów niż organy administracji publicznej, podczas gdy prawidłowe ustalenie stan</w:t>
      </w:r>
      <w:r w:rsidR="002706D0" w:rsidRPr="005C158A">
        <w:rPr>
          <w:rFonts w:ascii="Arial" w:hAnsi="Arial" w:cs="Arial"/>
          <w:sz w:val="20"/>
          <w:szCs w:val="20"/>
        </w:rPr>
        <w:t>u</w:t>
      </w:r>
      <w:r w:rsidRPr="005C158A">
        <w:rPr>
          <w:rFonts w:ascii="Arial" w:hAnsi="Arial" w:cs="Arial"/>
          <w:sz w:val="20"/>
          <w:szCs w:val="20"/>
        </w:rPr>
        <w:t xml:space="preserve"> faktycznego może być nierzadko uzależnione od konieczności pozyskania odpowiednich dokumentów od innych organów władzy publicznej.</w:t>
      </w:r>
    </w:p>
    <w:p w14:paraId="071495ED" w14:textId="4D67B272" w:rsidR="00D7624B" w:rsidRPr="005C158A" w:rsidRDefault="00D7624B"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Zasady przedkładania prokury lub pełnomocnictwa.</w:t>
      </w:r>
    </w:p>
    <w:p w14:paraId="311A0174" w14:textId="7C89D60A" w:rsidR="00D7624B" w:rsidRPr="005C158A" w:rsidRDefault="00D7624B" w:rsidP="00D7624B">
      <w:pPr>
        <w:spacing w:before="120" w:after="120" w:line="360" w:lineRule="auto"/>
        <w:jc w:val="both"/>
        <w:rPr>
          <w:rFonts w:ascii="Arial" w:hAnsi="Arial" w:cs="Arial"/>
          <w:sz w:val="20"/>
          <w:szCs w:val="20"/>
        </w:rPr>
      </w:pPr>
      <w:r w:rsidRPr="005C158A">
        <w:rPr>
          <w:rFonts w:ascii="Arial" w:hAnsi="Arial" w:cs="Arial"/>
          <w:sz w:val="20"/>
          <w:szCs w:val="20"/>
        </w:rPr>
        <w:t xml:space="preserve">Proponowany przepis art. 33 § 5 Kpa, stanowiący odpowiednik art. 89 § 1 </w:t>
      </w:r>
      <w:proofErr w:type="spellStart"/>
      <w:r w:rsidRPr="005C158A">
        <w:rPr>
          <w:rFonts w:ascii="Arial" w:hAnsi="Arial" w:cs="Arial"/>
          <w:sz w:val="20"/>
          <w:szCs w:val="20"/>
        </w:rPr>
        <w:t>zd</w:t>
      </w:r>
      <w:proofErr w:type="spellEnd"/>
      <w:r w:rsidRPr="005C158A">
        <w:rPr>
          <w:rFonts w:ascii="Arial" w:hAnsi="Arial" w:cs="Arial"/>
          <w:sz w:val="20"/>
          <w:szCs w:val="20"/>
        </w:rPr>
        <w:t xml:space="preserve">. trzecie ustawy z dnia 17 listopada 1964 r. – Kodeks postępowania cywilnego, rozciąga na publiczne rejestry (zwłaszcza na Krajowy Rejestr Sądowy, w sposób szczególny korzystający z domniemania prawdziwości zawartych w nim danych – zob. art. 17 ustawy z dnia 20 sierpnia 1997 r. o Krajowym Rejestrze Sądowym), wyciągi i ewidencje rozwiązania znajdujące się dotychczas w ustawie z dnia 6 marca 2018 r. o Centralnej Ewidencji i Informacji o Działalności Gospodarczej i Punkcie Informacji dla Przedsiębiorcy w zakresie konieczności przedkładania przez pełnomocnika (w szczególności prokurenta) dokumentu pełnomocnictwa na potrzeby postępowań administracyjnych (art. 41 tejże ustawy w brzmieniu dotychczasowym). Warunkiem jest, by informacje o pełnomocniku oraz o zakresie jego umocowania miały charakter publiczny, tj. były ujawnione w takim rejestrze, wyciągu bądź ewidencji, a organ prowadzący postępowanie miał do nich dostęp drogą elektroniczną. </w:t>
      </w:r>
    </w:p>
    <w:p w14:paraId="4DB68918" w14:textId="77777777" w:rsidR="00D7624B" w:rsidRPr="005C158A" w:rsidRDefault="00D7624B" w:rsidP="00D7624B">
      <w:pPr>
        <w:spacing w:before="120" w:after="120" w:line="360" w:lineRule="auto"/>
        <w:jc w:val="both"/>
        <w:rPr>
          <w:rFonts w:ascii="Arial" w:hAnsi="Arial" w:cs="Arial"/>
          <w:sz w:val="20"/>
          <w:szCs w:val="20"/>
        </w:rPr>
      </w:pPr>
      <w:r w:rsidRPr="005C158A">
        <w:rPr>
          <w:rFonts w:ascii="Arial" w:hAnsi="Arial" w:cs="Arial"/>
          <w:sz w:val="20"/>
          <w:szCs w:val="20"/>
        </w:rPr>
        <w:t>Utrzymywanie w tym zakresie rozróżnienia pomiędzy CEIDG a publicznymi rejestrami i wyciągami nie wydaje się znajdować aksjologicznego uzasadnienia. Propozycja stanowi też manifestację innych pro-obywatelskich i pro-przedsiębiorczych reguł administracji takich jak konieczność współdziałania organów czy korzystanie z danych i informacji, do których mają one już dostęp, bez konieczności angażowania zainteresowanych. Jednocześnie, ze względu na treść art. 3 § 1 pkt 2 Kpa, nie będzie miała ona zastosowania do postępowań regulowanych przez Op.</w:t>
      </w:r>
    </w:p>
    <w:p w14:paraId="24356E08" w14:textId="03FA499C" w:rsidR="009A3E5D" w:rsidRPr="005C158A" w:rsidRDefault="009A3E5D" w:rsidP="009A3E5D">
      <w:pPr>
        <w:pStyle w:val="Akapitzlist"/>
        <w:numPr>
          <w:ilvl w:val="0"/>
          <w:numId w:val="1"/>
        </w:numPr>
        <w:spacing w:before="120" w:after="120" w:line="360" w:lineRule="auto"/>
        <w:ind w:left="0" w:firstLine="0"/>
        <w:jc w:val="both"/>
        <w:rPr>
          <w:rFonts w:ascii="Arial" w:hAnsi="Arial" w:cs="Arial"/>
          <w:sz w:val="20"/>
          <w:szCs w:val="20"/>
        </w:rPr>
      </w:pPr>
      <w:bookmarkStart w:id="9" w:name="_Hlk137466396"/>
      <w:r w:rsidRPr="005C158A">
        <w:rPr>
          <w:rFonts w:ascii="Arial" w:hAnsi="Arial" w:cs="Arial"/>
          <w:sz w:val="20"/>
          <w:szCs w:val="20"/>
        </w:rPr>
        <w:t>Zmiany w zakresie doręczeń pism pełnomo</w:t>
      </w:r>
      <w:r w:rsidR="00683522" w:rsidRPr="005C158A">
        <w:rPr>
          <w:rFonts w:ascii="Arial" w:hAnsi="Arial" w:cs="Arial"/>
          <w:sz w:val="20"/>
          <w:szCs w:val="20"/>
        </w:rPr>
        <w:t xml:space="preserve">cnikowi. </w:t>
      </w:r>
    </w:p>
    <w:bookmarkEnd w:id="9"/>
    <w:p w14:paraId="30CB0046" w14:textId="77777777" w:rsidR="009A3E5D" w:rsidRPr="005C158A" w:rsidRDefault="009A3E5D" w:rsidP="009A3E5D">
      <w:pPr>
        <w:spacing w:before="120" w:after="120" w:line="360" w:lineRule="auto"/>
        <w:jc w:val="both"/>
        <w:rPr>
          <w:rFonts w:ascii="Arial" w:hAnsi="Arial" w:cs="Arial"/>
          <w:sz w:val="20"/>
          <w:szCs w:val="20"/>
        </w:rPr>
      </w:pPr>
      <w:r w:rsidRPr="005C158A">
        <w:rPr>
          <w:rFonts w:ascii="Arial" w:hAnsi="Arial" w:cs="Arial"/>
          <w:sz w:val="20"/>
          <w:szCs w:val="20"/>
        </w:rPr>
        <w:t xml:space="preserve">Przepis </w:t>
      </w:r>
      <w:r w:rsidRPr="005C158A">
        <w:rPr>
          <w:rFonts w:ascii="Arial" w:hAnsi="Arial" w:cs="Arial"/>
          <w:b/>
          <w:bCs/>
          <w:sz w:val="20"/>
          <w:szCs w:val="20"/>
        </w:rPr>
        <w:t>art. 40 Kpa</w:t>
      </w:r>
      <w:r w:rsidRPr="005C158A">
        <w:rPr>
          <w:rFonts w:ascii="Arial" w:hAnsi="Arial" w:cs="Arial"/>
          <w:sz w:val="20"/>
          <w:szCs w:val="20"/>
        </w:rPr>
        <w:t xml:space="preserve"> rozszerzony został o </w:t>
      </w:r>
      <w:r w:rsidRPr="005C158A">
        <w:rPr>
          <w:rFonts w:ascii="Arial" w:hAnsi="Arial" w:cs="Arial"/>
          <w:b/>
          <w:bCs/>
          <w:sz w:val="20"/>
          <w:szCs w:val="20"/>
        </w:rPr>
        <w:t>§ 6</w:t>
      </w:r>
      <w:r w:rsidRPr="005C158A">
        <w:rPr>
          <w:rFonts w:ascii="Arial" w:hAnsi="Arial" w:cs="Arial"/>
          <w:sz w:val="20"/>
          <w:szCs w:val="20"/>
        </w:rPr>
        <w:t>, zgodnie z którym w razie niemożności doręczenia pierwszego pisma zawierającego pouczenie, o którym mowa w § 5 zdanie drugie, pismo to pozostawia się w aktach sprawy ze skutkiem doręczenia.</w:t>
      </w:r>
    </w:p>
    <w:p w14:paraId="76D64F53" w14:textId="77777777" w:rsidR="009A3E5D" w:rsidRPr="005C158A" w:rsidRDefault="009A3E5D" w:rsidP="009A3E5D">
      <w:pPr>
        <w:spacing w:before="120" w:after="120" w:line="360" w:lineRule="auto"/>
        <w:jc w:val="both"/>
        <w:rPr>
          <w:rFonts w:ascii="Arial" w:hAnsi="Arial" w:cs="Arial"/>
          <w:sz w:val="20"/>
          <w:szCs w:val="20"/>
        </w:rPr>
      </w:pPr>
      <w:r w:rsidRPr="005C158A">
        <w:rPr>
          <w:rFonts w:ascii="Arial" w:hAnsi="Arial" w:cs="Arial"/>
          <w:sz w:val="20"/>
          <w:szCs w:val="20"/>
        </w:rPr>
        <w:lastRenderedPageBreak/>
        <w:t>Zgodnie z art. 40 § 4 Kpa strona, która nie ma miejsca zamieszkania lub zwykłego pobytu albo siedziby w Rzeczypospolitej Polskiej, innym państwie członkowskim Unii Europejskiej, Konfederacji Szwajcarskiej albo państwie członkowskim Europejskiego Porozumienia o Wolnym Handlu (EFTA) - stronie umowy o Europejskim Obszarze Gospodarczym, jeżeli nie ustanowiła pełnomocnika do prowadzenia sprawy zamieszkałego w Rzeczypospolitej Polskiej i nie działa za pośrednictwem konsula Rzeczypospolitej Polskiej, jest obowiązana wskazać w Rzeczypospolitej Polskiej pełnomocnika do doręczeń, chyba że doręczenie następuje usługą rejestrowanego doręczenia elektronicznego.</w:t>
      </w:r>
    </w:p>
    <w:p w14:paraId="16AE1173" w14:textId="77777777" w:rsidR="009A3E5D" w:rsidRPr="005C158A" w:rsidRDefault="009A3E5D" w:rsidP="009A3E5D">
      <w:pPr>
        <w:spacing w:before="120" w:after="120" w:line="360" w:lineRule="auto"/>
        <w:jc w:val="both"/>
        <w:rPr>
          <w:rFonts w:ascii="Arial" w:hAnsi="Arial" w:cs="Arial"/>
          <w:sz w:val="20"/>
          <w:szCs w:val="20"/>
        </w:rPr>
      </w:pPr>
      <w:r w:rsidRPr="005C158A">
        <w:rPr>
          <w:rFonts w:ascii="Arial" w:hAnsi="Arial" w:cs="Arial"/>
          <w:sz w:val="20"/>
          <w:szCs w:val="20"/>
        </w:rPr>
        <w:t>Natomiast w myśl art. 40  § 5 Kpa w razie niewskazania pełnomocnika do doręczeń przeznaczone dla tej strony pisma pozostawia się w aktach sprawy ze skutkiem doręczenia. Stronę należy o tym pouczyć przy pierwszym doręczeniu. Strona powinna być również pouczona o możliwości złożenia odpowiedzi na pismo wszczynające postępowanie i wyjaśnień na piśmie oraz o tym, kto może być ustanowiony pełnomocnikiem.</w:t>
      </w:r>
    </w:p>
    <w:p w14:paraId="2EE02AA4" w14:textId="7CBB04E9" w:rsidR="009A3E5D" w:rsidRPr="005C158A" w:rsidRDefault="009A3E5D" w:rsidP="009A3E5D">
      <w:pPr>
        <w:spacing w:before="120" w:after="120" w:line="360" w:lineRule="auto"/>
        <w:jc w:val="both"/>
        <w:rPr>
          <w:rFonts w:ascii="Arial" w:hAnsi="Arial" w:cs="Arial"/>
          <w:sz w:val="20"/>
          <w:szCs w:val="20"/>
        </w:rPr>
      </w:pPr>
      <w:r w:rsidRPr="005C158A">
        <w:rPr>
          <w:rFonts w:ascii="Arial" w:hAnsi="Arial" w:cs="Arial"/>
          <w:sz w:val="20"/>
          <w:szCs w:val="20"/>
        </w:rPr>
        <w:t xml:space="preserve">Należy zatem zauważyć, że obecne brzmienie zdania drugiego w art. 40  § 5 Kpa jest niejednoznaczne w przypadku, gdy nie jest możliwe pierwsze doręczenie pisma. Z literalnego brzmienia zdania drugiego w art. 40 § 5 Kpa wynika, że brak skutecznego doręczenia stronie ww. pouczenia uniemożliwia przyjęcie, że nastąpiło względem niej skuteczne doręczenie, o którym mowa w zdaniu pierwszym art. 40 § 5 Kpa. W związku z tym proponuje się dodanie art. 40 </w:t>
      </w:r>
      <w:r w:rsidR="00807C5B" w:rsidRPr="005C158A">
        <w:rPr>
          <w:rFonts w:ascii="Arial" w:hAnsi="Arial" w:cs="Arial"/>
          <w:sz w:val="20"/>
          <w:szCs w:val="20"/>
        </w:rPr>
        <w:t xml:space="preserve">§ 6 </w:t>
      </w:r>
      <w:r w:rsidRPr="005C158A">
        <w:rPr>
          <w:rFonts w:ascii="Arial" w:hAnsi="Arial" w:cs="Arial"/>
          <w:sz w:val="20"/>
          <w:szCs w:val="20"/>
        </w:rPr>
        <w:t xml:space="preserve">Kpa poprzez jednoznaczne wskazanie, że w przypadku braku możliwości doręczenia pierwszego pisma zawierającego pouczenie, o którym mowa w zdaniu drugim w 40 § 5 Kpa, pismo pozostawia się w aktach sprawy ze skutkiem doręczenia. </w:t>
      </w:r>
    </w:p>
    <w:p w14:paraId="48C83C61" w14:textId="39A0511A" w:rsidR="00833E6F" w:rsidRPr="005C158A" w:rsidRDefault="00833E6F"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Doręczenie zastępcze</w:t>
      </w:r>
      <w:r w:rsidR="00A94E26" w:rsidRPr="005C158A">
        <w:rPr>
          <w:rFonts w:ascii="Arial" w:hAnsi="Arial" w:cs="Arial"/>
          <w:sz w:val="20"/>
          <w:szCs w:val="20"/>
        </w:rPr>
        <w:t>.</w:t>
      </w:r>
      <w:r w:rsidRPr="005C158A">
        <w:rPr>
          <w:rFonts w:ascii="Arial" w:hAnsi="Arial" w:cs="Arial"/>
          <w:sz w:val="20"/>
          <w:szCs w:val="20"/>
        </w:rPr>
        <w:t xml:space="preserve"> </w:t>
      </w:r>
    </w:p>
    <w:p w14:paraId="0F83BBFF" w14:textId="6B585095" w:rsidR="002F177D" w:rsidRPr="005C158A" w:rsidRDefault="00833E6F"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Obecnie obowiązujące </w:t>
      </w:r>
      <w:r w:rsidR="007A6666" w:rsidRPr="005C158A">
        <w:rPr>
          <w:rFonts w:ascii="Arial" w:hAnsi="Arial" w:cs="Arial"/>
          <w:sz w:val="20"/>
          <w:szCs w:val="20"/>
        </w:rPr>
        <w:t xml:space="preserve">regulacje </w:t>
      </w:r>
      <w:r w:rsidR="002F177D" w:rsidRPr="005C158A">
        <w:rPr>
          <w:rFonts w:ascii="Arial" w:hAnsi="Arial" w:cs="Arial"/>
          <w:sz w:val="20"/>
          <w:szCs w:val="20"/>
        </w:rPr>
        <w:t xml:space="preserve">w zakresie </w:t>
      </w:r>
      <w:r w:rsidR="00C2778C" w:rsidRPr="005C158A">
        <w:rPr>
          <w:rFonts w:ascii="Arial" w:hAnsi="Arial" w:cs="Arial"/>
          <w:sz w:val="20"/>
          <w:szCs w:val="20"/>
        </w:rPr>
        <w:t>doręcze</w:t>
      </w:r>
      <w:r w:rsidR="007A6666" w:rsidRPr="005C158A">
        <w:rPr>
          <w:rFonts w:ascii="Arial" w:hAnsi="Arial" w:cs="Arial"/>
          <w:sz w:val="20"/>
          <w:szCs w:val="20"/>
        </w:rPr>
        <w:t>ń</w:t>
      </w:r>
      <w:r w:rsidR="00C2778C" w:rsidRPr="005C158A">
        <w:rPr>
          <w:rFonts w:ascii="Arial" w:hAnsi="Arial" w:cs="Arial"/>
          <w:sz w:val="20"/>
          <w:szCs w:val="20"/>
        </w:rPr>
        <w:t xml:space="preserve"> nie regulują </w:t>
      </w:r>
      <w:r w:rsidR="007A6666" w:rsidRPr="005C158A">
        <w:rPr>
          <w:rFonts w:ascii="Arial" w:hAnsi="Arial" w:cs="Arial"/>
          <w:sz w:val="20"/>
          <w:szCs w:val="20"/>
        </w:rPr>
        <w:t xml:space="preserve">w pełni </w:t>
      </w:r>
      <w:r w:rsidR="00C2778C" w:rsidRPr="005C158A">
        <w:rPr>
          <w:rFonts w:ascii="Arial" w:hAnsi="Arial" w:cs="Arial"/>
          <w:sz w:val="20"/>
          <w:szCs w:val="20"/>
        </w:rPr>
        <w:t>sytuacji</w:t>
      </w:r>
      <w:r w:rsidR="00413B5F" w:rsidRPr="005C158A">
        <w:rPr>
          <w:rFonts w:ascii="Arial" w:hAnsi="Arial" w:cs="Arial"/>
          <w:sz w:val="20"/>
          <w:szCs w:val="20"/>
        </w:rPr>
        <w:t>,</w:t>
      </w:r>
      <w:r w:rsidR="00C2778C" w:rsidRPr="005C158A">
        <w:rPr>
          <w:rFonts w:ascii="Arial" w:hAnsi="Arial" w:cs="Arial"/>
          <w:sz w:val="20"/>
          <w:szCs w:val="20"/>
        </w:rPr>
        <w:t xml:space="preserve"> gdy </w:t>
      </w:r>
      <w:r w:rsidR="007A6666" w:rsidRPr="005C158A">
        <w:rPr>
          <w:rFonts w:ascii="Arial" w:hAnsi="Arial" w:cs="Arial"/>
          <w:sz w:val="20"/>
          <w:szCs w:val="20"/>
        </w:rPr>
        <w:t xml:space="preserve">siedziba osoby prawnej lub jednostki organizacyjnej </w:t>
      </w:r>
      <w:r w:rsidR="002706D0" w:rsidRPr="005C158A">
        <w:rPr>
          <w:rFonts w:ascii="Arial" w:hAnsi="Arial" w:cs="Arial"/>
          <w:sz w:val="20"/>
          <w:szCs w:val="20"/>
        </w:rPr>
        <w:t xml:space="preserve">nieposiadającej </w:t>
      </w:r>
      <w:r w:rsidR="007A6666" w:rsidRPr="005C158A">
        <w:rPr>
          <w:rFonts w:ascii="Arial" w:hAnsi="Arial" w:cs="Arial"/>
          <w:sz w:val="20"/>
          <w:szCs w:val="20"/>
        </w:rPr>
        <w:t>osobowości prawnej nie istnieje lub</w:t>
      </w:r>
      <w:r w:rsidR="00382A33" w:rsidRPr="005C158A">
        <w:rPr>
          <w:rFonts w:ascii="Arial" w:hAnsi="Arial" w:cs="Arial"/>
          <w:sz w:val="20"/>
          <w:szCs w:val="20"/>
        </w:rPr>
        <w:t xml:space="preserve"> z</w:t>
      </w:r>
      <w:r w:rsidR="007A6666" w:rsidRPr="005C158A">
        <w:rPr>
          <w:rFonts w:ascii="Arial" w:hAnsi="Arial" w:cs="Arial"/>
          <w:sz w:val="20"/>
          <w:szCs w:val="20"/>
        </w:rPr>
        <w:t xml:space="preserve"> innego powodu nie jest możliwa do ustalenia. </w:t>
      </w:r>
    </w:p>
    <w:p w14:paraId="4F8FEB65" w14:textId="77BD8C78" w:rsidR="00833E6F" w:rsidRPr="005C158A" w:rsidRDefault="002D7E9C"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Problem ten jest szczególnie widoczny w przypadku administracyjnych </w:t>
      </w:r>
      <w:r w:rsidR="00F0644A" w:rsidRPr="005C158A">
        <w:rPr>
          <w:rFonts w:ascii="Arial" w:hAnsi="Arial" w:cs="Arial"/>
          <w:sz w:val="20"/>
          <w:szCs w:val="20"/>
        </w:rPr>
        <w:t xml:space="preserve">postępowań </w:t>
      </w:r>
      <w:r w:rsidRPr="005C158A">
        <w:rPr>
          <w:rFonts w:ascii="Arial" w:hAnsi="Arial" w:cs="Arial"/>
          <w:sz w:val="20"/>
          <w:szCs w:val="20"/>
        </w:rPr>
        <w:t xml:space="preserve">egzekucyjnych, do których odpowiednie stosowanie mają także przepisy </w:t>
      </w:r>
      <w:r w:rsidR="00376342" w:rsidRPr="005C158A">
        <w:rPr>
          <w:rFonts w:ascii="Arial" w:hAnsi="Arial" w:cs="Arial"/>
          <w:sz w:val="20"/>
          <w:szCs w:val="20"/>
        </w:rPr>
        <w:t>Kpa</w:t>
      </w:r>
      <w:r w:rsidR="00A94E26" w:rsidRPr="005C158A">
        <w:rPr>
          <w:rFonts w:ascii="Arial" w:hAnsi="Arial" w:cs="Arial"/>
          <w:sz w:val="20"/>
          <w:szCs w:val="20"/>
        </w:rPr>
        <w:t>.</w:t>
      </w:r>
      <w:r w:rsidRPr="005C158A">
        <w:rPr>
          <w:rFonts w:ascii="Arial" w:hAnsi="Arial" w:cs="Arial"/>
          <w:sz w:val="20"/>
          <w:szCs w:val="20"/>
        </w:rPr>
        <w:t xml:space="preserve"> </w:t>
      </w:r>
      <w:r w:rsidR="00382A33" w:rsidRPr="005C158A">
        <w:rPr>
          <w:rFonts w:ascii="Arial" w:hAnsi="Arial" w:cs="Arial"/>
          <w:sz w:val="20"/>
          <w:szCs w:val="20"/>
        </w:rPr>
        <w:t xml:space="preserve">Brak możliwości ustalenia adresu </w:t>
      </w:r>
      <w:r w:rsidRPr="005C158A">
        <w:rPr>
          <w:rFonts w:ascii="Arial" w:hAnsi="Arial" w:cs="Arial"/>
          <w:sz w:val="20"/>
          <w:szCs w:val="20"/>
        </w:rPr>
        <w:t>tych podmiotów</w:t>
      </w:r>
      <w:r w:rsidR="00833E6F" w:rsidRPr="005C158A">
        <w:rPr>
          <w:rFonts w:ascii="Arial" w:hAnsi="Arial" w:cs="Arial"/>
          <w:sz w:val="20"/>
          <w:szCs w:val="20"/>
        </w:rPr>
        <w:t xml:space="preserve"> mo</w:t>
      </w:r>
      <w:r w:rsidR="00A94E26" w:rsidRPr="005C158A">
        <w:rPr>
          <w:rFonts w:ascii="Arial" w:hAnsi="Arial" w:cs="Arial"/>
          <w:sz w:val="20"/>
          <w:szCs w:val="20"/>
        </w:rPr>
        <w:t>że</w:t>
      </w:r>
      <w:r w:rsidR="00833E6F" w:rsidRPr="005C158A">
        <w:rPr>
          <w:rFonts w:ascii="Arial" w:hAnsi="Arial" w:cs="Arial"/>
          <w:sz w:val="20"/>
          <w:szCs w:val="20"/>
        </w:rPr>
        <w:t xml:space="preserve"> utrudniać, a niekiedy uniemożliwiać podejmowanie wobec nich czynności egzekucyjnych na skutek utrzymywania w odpowiednich rejestrach, w tym w Krajowym Rejestrze Sądowym</w:t>
      </w:r>
      <w:r w:rsidRPr="005C158A">
        <w:rPr>
          <w:rFonts w:ascii="Arial" w:hAnsi="Arial" w:cs="Arial"/>
          <w:sz w:val="20"/>
          <w:szCs w:val="20"/>
        </w:rPr>
        <w:t xml:space="preserve"> nieaktualnych </w:t>
      </w:r>
      <w:r w:rsidR="00833E6F" w:rsidRPr="005C158A">
        <w:rPr>
          <w:rFonts w:ascii="Arial" w:hAnsi="Arial" w:cs="Arial"/>
          <w:sz w:val="20"/>
          <w:szCs w:val="20"/>
        </w:rPr>
        <w:t>danych dotyczących adresu siedziby.</w:t>
      </w:r>
      <w:r w:rsidR="002F177D" w:rsidRPr="005C158A">
        <w:rPr>
          <w:rFonts w:ascii="Arial" w:hAnsi="Arial" w:cs="Arial"/>
          <w:sz w:val="20"/>
          <w:szCs w:val="20"/>
        </w:rPr>
        <w:t xml:space="preserve"> </w:t>
      </w:r>
    </w:p>
    <w:p w14:paraId="3C229A7C" w14:textId="361858DE" w:rsidR="00382A33" w:rsidRPr="005C158A" w:rsidRDefault="002F177D" w:rsidP="00401710">
      <w:pPr>
        <w:spacing w:before="120" w:after="120" w:line="360" w:lineRule="auto"/>
        <w:jc w:val="both"/>
        <w:rPr>
          <w:rFonts w:ascii="Arial" w:hAnsi="Arial" w:cs="Arial"/>
          <w:sz w:val="20"/>
          <w:szCs w:val="20"/>
        </w:rPr>
      </w:pPr>
      <w:r w:rsidRPr="005C158A">
        <w:rPr>
          <w:rFonts w:ascii="Arial" w:hAnsi="Arial" w:cs="Arial"/>
          <w:sz w:val="20"/>
          <w:szCs w:val="20"/>
        </w:rPr>
        <w:t>W celu podniesienia skuteczności działa</w:t>
      </w:r>
      <w:r w:rsidR="0060210D" w:rsidRPr="005C158A">
        <w:rPr>
          <w:rFonts w:ascii="Arial" w:hAnsi="Arial" w:cs="Arial"/>
          <w:sz w:val="20"/>
          <w:szCs w:val="20"/>
        </w:rPr>
        <w:t>nia</w:t>
      </w:r>
      <w:r w:rsidRPr="005C158A">
        <w:rPr>
          <w:rFonts w:ascii="Arial" w:hAnsi="Arial" w:cs="Arial"/>
          <w:sz w:val="20"/>
          <w:szCs w:val="20"/>
        </w:rPr>
        <w:t xml:space="preserve"> organów proponuje się </w:t>
      </w:r>
      <w:r w:rsidR="002D7E9C" w:rsidRPr="005C158A">
        <w:rPr>
          <w:rFonts w:ascii="Arial" w:hAnsi="Arial" w:cs="Arial"/>
          <w:sz w:val="20"/>
          <w:szCs w:val="20"/>
        </w:rPr>
        <w:t>wprowadzenie</w:t>
      </w:r>
      <w:r w:rsidRPr="005C158A">
        <w:rPr>
          <w:rFonts w:ascii="Arial" w:hAnsi="Arial" w:cs="Arial"/>
          <w:sz w:val="20"/>
          <w:szCs w:val="20"/>
        </w:rPr>
        <w:t xml:space="preserve"> </w:t>
      </w:r>
      <w:r w:rsidRPr="005C158A">
        <w:rPr>
          <w:rFonts w:ascii="Arial" w:hAnsi="Arial" w:cs="Arial"/>
          <w:b/>
          <w:bCs/>
          <w:sz w:val="20"/>
          <w:szCs w:val="20"/>
        </w:rPr>
        <w:t>art. 45a</w:t>
      </w:r>
      <w:r w:rsidR="002D7E9C" w:rsidRPr="005C158A">
        <w:rPr>
          <w:rFonts w:ascii="Arial" w:hAnsi="Arial" w:cs="Arial"/>
          <w:b/>
          <w:bCs/>
          <w:sz w:val="20"/>
          <w:szCs w:val="20"/>
        </w:rPr>
        <w:t xml:space="preserve"> </w:t>
      </w:r>
      <w:r w:rsidR="00376342" w:rsidRPr="005C158A">
        <w:rPr>
          <w:rFonts w:ascii="Arial" w:hAnsi="Arial" w:cs="Arial"/>
          <w:b/>
          <w:bCs/>
          <w:sz w:val="20"/>
          <w:szCs w:val="20"/>
        </w:rPr>
        <w:t>Kpa</w:t>
      </w:r>
      <w:r w:rsidR="00A94E26" w:rsidRPr="005C158A">
        <w:rPr>
          <w:rFonts w:ascii="Arial" w:hAnsi="Arial" w:cs="Arial"/>
          <w:sz w:val="20"/>
          <w:szCs w:val="20"/>
        </w:rPr>
        <w:t xml:space="preserve"> prz</w:t>
      </w:r>
      <w:r w:rsidR="00382A33" w:rsidRPr="005C158A">
        <w:rPr>
          <w:rFonts w:ascii="Arial" w:hAnsi="Arial" w:cs="Arial"/>
          <w:sz w:val="20"/>
          <w:szCs w:val="20"/>
        </w:rPr>
        <w:t>ewidują</w:t>
      </w:r>
      <w:r w:rsidR="00A94E26" w:rsidRPr="005C158A">
        <w:rPr>
          <w:rFonts w:ascii="Arial" w:hAnsi="Arial" w:cs="Arial"/>
          <w:sz w:val="20"/>
          <w:szCs w:val="20"/>
        </w:rPr>
        <w:t>cego</w:t>
      </w:r>
      <w:r w:rsidR="00382A33" w:rsidRPr="005C158A">
        <w:rPr>
          <w:rFonts w:ascii="Arial" w:hAnsi="Arial" w:cs="Arial"/>
          <w:sz w:val="20"/>
          <w:szCs w:val="20"/>
        </w:rPr>
        <w:t xml:space="preserve"> konstrukcję doręczenia pism osobom prawnym i jednostkom organizacyjnym </w:t>
      </w:r>
      <w:r w:rsidR="002706D0" w:rsidRPr="005C158A">
        <w:rPr>
          <w:rFonts w:ascii="Arial" w:hAnsi="Arial" w:cs="Arial"/>
          <w:sz w:val="20"/>
          <w:szCs w:val="20"/>
        </w:rPr>
        <w:t xml:space="preserve">nieposiadającym </w:t>
      </w:r>
      <w:r w:rsidR="00382A33" w:rsidRPr="005C158A">
        <w:rPr>
          <w:rFonts w:ascii="Arial" w:hAnsi="Arial" w:cs="Arial"/>
          <w:sz w:val="20"/>
          <w:szCs w:val="20"/>
        </w:rPr>
        <w:t xml:space="preserve">osobowości prawnej przez wykreowanie tzw. wtórnego adresata pisma oraz wykorzystanie fikcji prawnej doręczenia. </w:t>
      </w:r>
      <w:r w:rsidR="0060210D" w:rsidRPr="005C158A">
        <w:rPr>
          <w:rFonts w:ascii="Arial" w:hAnsi="Arial" w:cs="Arial"/>
          <w:sz w:val="20"/>
          <w:szCs w:val="20"/>
        </w:rPr>
        <w:t>Projektowane zasady b</w:t>
      </w:r>
      <w:r w:rsidR="00382A33" w:rsidRPr="005C158A">
        <w:rPr>
          <w:rFonts w:ascii="Arial" w:hAnsi="Arial" w:cs="Arial"/>
          <w:sz w:val="20"/>
          <w:szCs w:val="20"/>
        </w:rPr>
        <w:t>ędą miały zastosowanie jedynie w przypadkach, gdy adres ich siedziby nie istnieje, został wykreślony z rejestru lub jest niezgodny z odpowiednim rejestrem i nie można ustalić miejsca prowadzenia działalności.</w:t>
      </w:r>
      <w:r w:rsidRPr="005C158A">
        <w:rPr>
          <w:rFonts w:ascii="Arial" w:hAnsi="Arial" w:cs="Arial"/>
          <w:sz w:val="20"/>
          <w:szCs w:val="20"/>
        </w:rPr>
        <w:t xml:space="preserve"> </w:t>
      </w:r>
    </w:p>
    <w:p w14:paraId="6B2E8552" w14:textId="5F16167C" w:rsidR="002706D0" w:rsidRPr="005C158A" w:rsidRDefault="002706D0" w:rsidP="002706D0">
      <w:pPr>
        <w:spacing w:before="120" w:after="120" w:line="360" w:lineRule="auto"/>
        <w:jc w:val="both"/>
        <w:rPr>
          <w:rFonts w:ascii="Arial" w:hAnsi="Arial" w:cs="Arial"/>
          <w:sz w:val="20"/>
          <w:szCs w:val="20"/>
        </w:rPr>
      </w:pPr>
      <w:r w:rsidRPr="005C158A">
        <w:rPr>
          <w:rFonts w:ascii="Arial" w:hAnsi="Arial" w:cs="Arial"/>
          <w:sz w:val="20"/>
          <w:szCs w:val="20"/>
        </w:rPr>
        <w:t xml:space="preserve">Należy zauważyć, że obecnie Kpa przewiduje już doręczenia zastępcze. W obecnym stanie prawnym obowiązuje zasada, że każde pismo kierowane do spółki (m.in. decyzje, postanowienia, pisma w toku postępowania) powinno zostać jej doręczone w lokalu siedziby do rąk osoby uprawnionej (art. 45 zdanie 1 Kpa). Zgodnie z art. 45 zdanie drugie Kpa przepis art. 44 Kpa stosuje się odpowiednio. W związku z </w:t>
      </w:r>
      <w:r w:rsidRPr="005C158A">
        <w:rPr>
          <w:rFonts w:ascii="Arial" w:hAnsi="Arial" w:cs="Arial"/>
          <w:sz w:val="20"/>
          <w:szCs w:val="20"/>
        </w:rPr>
        <w:lastRenderedPageBreak/>
        <w:t xml:space="preserve">tym w razie niemożności doręczenia spółce pisma w sposób opisany powyżej, dręczyciel (z reguły jest nim operator pocztowy), obowiązany jest przechować pismo przez 14 dni w placówce pocztowej (art. 44 § 1 pkt. 1 Kpa stosowany odpowiednio) oraz pozostawić adresatowi, czyli spółce zawiadomienie z informacją o możliwości jego odbioru w placówce pocztowej w terminie 7 dni licząc od daty pozostawienia zawiadomienia. Samo zawiadomienie zaś, doręczyciel powinien umieścić w skrzynce pocztowej spółki lub gdy nie jest to możliwe, na drzwiach lokalu siedziby spółki lub w widocznym miejscu przy wejściu na teren, do którego spółka ma wyłączny tytuł prawny (art. 44 § 2 Kpa stosowany odpowiednio).  </w:t>
      </w:r>
    </w:p>
    <w:p w14:paraId="1EC94FF2" w14:textId="62307460" w:rsidR="002706D0" w:rsidRPr="005C158A" w:rsidRDefault="002706D0" w:rsidP="002706D0">
      <w:pPr>
        <w:spacing w:before="120" w:after="120" w:line="360" w:lineRule="auto"/>
        <w:jc w:val="both"/>
        <w:rPr>
          <w:rFonts w:ascii="Arial" w:hAnsi="Arial" w:cs="Arial"/>
          <w:sz w:val="20"/>
          <w:szCs w:val="20"/>
        </w:rPr>
      </w:pPr>
      <w:r w:rsidRPr="005C158A">
        <w:rPr>
          <w:rFonts w:ascii="Arial" w:hAnsi="Arial" w:cs="Arial"/>
          <w:sz w:val="20"/>
          <w:szCs w:val="20"/>
        </w:rPr>
        <w:t>Jeśli zaś spółka nie podejmie przesyłki w terminie, doręczyciel obowiązany jest pozostawić powtórne zawiadomienie o możliwości odbioru przesyłki, przy czym termin odbioru określa się wówczas jako nie dłuższy niż 14 dni od daty pierwszego zawiadomienia (art. 44 § 3 Kpa). Gdy spółka nie podejmie pisma po drugim zawiadomieniu, doręczenie pisma będzie uznane za dokonane z upływem czternastego dnia od daty pozostawienia przez pocztę pierwszego zawiadomienia o przesyłce (art. 44 § 4 Kpa), co innymi słowy oznaczać będzie przyjęcie w postępowaniu administracyjnym tzw. fikcji doręczenia. Należy podkreślić jednak, że ww. fikcja doręczenia odnosi się wyłącznie bezpośrednio do adresata pisma. W postanowieniu z dnia 8 stycznia 2015 r. (sygn. akt II GSK 2769/14) NSA podkreślił przesłanki dopuszczalności fikcji doręczenia: „</w:t>
      </w:r>
      <w:r w:rsidRPr="005C158A">
        <w:rPr>
          <w:rFonts w:ascii="Arial" w:hAnsi="Arial" w:cs="Arial"/>
          <w:i/>
          <w:iCs/>
          <w:sz w:val="20"/>
          <w:szCs w:val="20"/>
        </w:rPr>
        <w:t>Zgodnie z art. 40 § 1 Kpa pisma doręcza się stronie. Zatem pismo skierowane do osoby prawnej zawierające decyzję dotyczącą spółki z o.o. powinno być skierowane do tej spółki a nie do członka zarządu spółki. Zgodnie z art. 45 Kpa jednostkom organizacyjnym, a w tej grupie mieszczą się także osoby prawne, do których należą spółki z o.o., pisma doręcza się w lokalu ich siedziby do rąk osób uprawnionych do odbioru pism. Zatem pismo skierowane do spółki z o.o. powinno być doręczone na adres spółk</w:t>
      </w:r>
      <w:r w:rsidRPr="005C158A">
        <w:rPr>
          <w:rFonts w:ascii="Arial" w:hAnsi="Arial" w:cs="Arial"/>
          <w:sz w:val="20"/>
          <w:szCs w:val="20"/>
        </w:rPr>
        <w:t>i.” W związku z tym, w celu podniesienia skuteczności działania organów administracji publicznej dodatkowo, wprowadza się możliwość doręczenia pisma osobie fizycznej upoważnionej do reprezentowania adresata, będącego osobą prawną lub jednostką organizacyjną nieposiadającą osobowości prawnej, także wtedy, gdy reprezentacja ma charakter łączny z innymi osobami, gdy podany przez osobę prawną lub jednostkę organizacyjną niemającą osobowości prawnej adres jej siedziby nie istnieje, adres został wykreślony z rejestru lub jest niezgodny z odpowiednim rejestrem i nie można ustalić miejsca prowadzenia działalności. Należy zauważyć, że przepis ten będzie miał zastosowanie zarówno do postępowań wszczynanych na wniosek, jak i z urzędu. Jednocześnie powyższy przepis może przyczynić się m.in. do skuteczności postępowań egzekucyjnych w administracji. Zgodnie z art. 26 § 1 ustawy z dnia 17 czerwca 1966 r. o postępowaniu egzekucyjnym w administracji postępowanie egzekucyjne wszczyna się na wniosek wierzyciela o wszczęcie egzekucji administracyjnej i na podstawie wystawionego przez niego tytułu wykonawczego, sporządzonego według ustalonego wzoru. Zgodnie natomiast z art. 18 ustawy o postępowaniu egzekucyjnym w administracji, jeżeli przepisy niniejszej ustawy nie stanowią inaczej, w postępowaniu egzekucyjnym mają odpowiednie zastosowanie przepisy Kodeksu postępowania administracyjnego. Kwestie doręczeń nie zostały uregulowane w ustawie o postępowaniu egzekucyjnym w administracji. W związku z tym uregulowanie w Kpa dodatkowej fikcji doręczenia spowoduje większą skuteczność organów administracji publicznej w dochodzeniu należności.</w:t>
      </w:r>
    </w:p>
    <w:p w14:paraId="17462F5B" w14:textId="6D698B14" w:rsidR="002706D0" w:rsidRPr="005C158A" w:rsidRDefault="00382A33" w:rsidP="002706D0">
      <w:pPr>
        <w:spacing w:before="120" w:after="120" w:line="360" w:lineRule="auto"/>
        <w:jc w:val="both"/>
        <w:rPr>
          <w:rFonts w:ascii="Arial" w:hAnsi="Arial" w:cs="Arial"/>
          <w:sz w:val="20"/>
          <w:szCs w:val="20"/>
        </w:rPr>
      </w:pPr>
      <w:r w:rsidRPr="005C158A">
        <w:rPr>
          <w:rFonts w:ascii="Arial" w:hAnsi="Arial" w:cs="Arial"/>
          <w:sz w:val="20"/>
          <w:szCs w:val="20"/>
        </w:rPr>
        <w:lastRenderedPageBreak/>
        <w:t>Adresy osób fizycznych upoważnionych do reprezentowania w/w podmiotów są dostępne w rejestrach, w tym w Krajowym Rejestrze Sądowym</w:t>
      </w:r>
      <w:r w:rsidR="002706D0" w:rsidRPr="005C158A">
        <w:rPr>
          <w:rFonts w:ascii="Arial" w:hAnsi="Arial" w:cs="Arial"/>
          <w:sz w:val="20"/>
          <w:szCs w:val="20"/>
        </w:rPr>
        <w:t xml:space="preserve"> lub mogą być znane organowi administracji publicznej z urzędu</w:t>
      </w:r>
      <w:r w:rsidRPr="005C158A">
        <w:rPr>
          <w:rFonts w:ascii="Arial" w:hAnsi="Arial" w:cs="Arial"/>
          <w:sz w:val="20"/>
          <w:szCs w:val="20"/>
        </w:rPr>
        <w:t xml:space="preserve">. Niemniej przepis w proponowanym </w:t>
      </w:r>
      <w:r w:rsidR="002706D0" w:rsidRPr="005C158A">
        <w:rPr>
          <w:rFonts w:ascii="Arial" w:hAnsi="Arial" w:cs="Arial"/>
          <w:sz w:val="20"/>
          <w:szCs w:val="20"/>
        </w:rPr>
        <w:t xml:space="preserve">art. 45a § 2 Kpa przewiduje </w:t>
      </w:r>
      <w:r w:rsidRPr="005C158A">
        <w:rPr>
          <w:rFonts w:ascii="Arial" w:hAnsi="Arial" w:cs="Arial"/>
          <w:sz w:val="20"/>
          <w:szCs w:val="20"/>
        </w:rPr>
        <w:t>przyjęcie fikcji doręczenia, gdyby, z jakiś powodów, adresy nie były możliwe do ustalenia.</w:t>
      </w:r>
      <w:r w:rsidR="002F177D" w:rsidRPr="005C158A">
        <w:rPr>
          <w:rFonts w:ascii="Arial" w:hAnsi="Arial" w:cs="Arial"/>
          <w:sz w:val="20"/>
          <w:szCs w:val="20"/>
        </w:rPr>
        <w:t xml:space="preserve"> </w:t>
      </w:r>
      <w:r w:rsidR="002706D0" w:rsidRPr="005C158A">
        <w:rPr>
          <w:rFonts w:ascii="Arial" w:hAnsi="Arial" w:cs="Arial"/>
          <w:sz w:val="20"/>
          <w:szCs w:val="20"/>
        </w:rPr>
        <w:t>W przypadku, gdy organ administracji publicznej nie będzie w stanie ustalić adresu osoby fizycznej upoważnionej do reprezentowania osoby prawnej czy też jednostki organizacyjnej nieposiadającej osobowości prawnej, tj. podjęte czynności w postaci sprawdzenia treści wpisów do odpowiednich rejestrów nie pozwoliły na ustalenie ww. danych a inny aktualny adres tej osoby fizycznej nie jest znany organowi, to w takiej sytuacji pismo  pozostawia się w aktach sprawy wraz z odpowiednią adnotacją pracownika organu o poczynionych ustaleniach, a datę sporządzenia tej adnotacji uznaje się za datę doręczenia pisma tej osobie fizycznej.</w:t>
      </w:r>
    </w:p>
    <w:p w14:paraId="7A93627D" w14:textId="77777777" w:rsidR="002706D0" w:rsidRPr="005C158A" w:rsidRDefault="002706D0" w:rsidP="002706D0">
      <w:pPr>
        <w:spacing w:before="120" w:after="120" w:line="360" w:lineRule="auto"/>
        <w:jc w:val="both"/>
        <w:rPr>
          <w:rFonts w:ascii="Arial" w:hAnsi="Arial" w:cs="Arial"/>
          <w:sz w:val="20"/>
          <w:szCs w:val="20"/>
        </w:rPr>
      </w:pPr>
      <w:r w:rsidRPr="005C158A">
        <w:rPr>
          <w:rFonts w:ascii="Arial" w:hAnsi="Arial" w:cs="Arial"/>
          <w:sz w:val="20"/>
          <w:szCs w:val="20"/>
        </w:rPr>
        <w:t>Należy również wskazać, że do doręczeń pism osobie fizycznej upoważnionej do reprezentowania adresata, zastosowanie będą miały ogólne przepisy Kpa dotyczące doręczeń, np. art. 42 Kpa.</w:t>
      </w:r>
    </w:p>
    <w:p w14:paraId="792A5ED8" w14:textId="7418B13D" w:rsidR="00C2778C" w:rsidRPr="005C158A" w:rsidRDefault="003C335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Tożsame rozwiązanie zostało uregulowane w art. 151a </w:t>
      </w:r>
      <w:r w:rsidR="00A94E26" w:rsidRPr="005C158A">
        <w:rPr>
          <w:rFonts w:ascii="Arial" w:hAnsi="Arial" w:cs="Arial"/>
          <w:sz w:val="20"/>
          <w:szCs w:val="20"/>
        </w:rPr>
        <w:t>O</w:t>
      </w:r>
      <w:r w:rsidR="00FA6630" w:rsidRPr="005C158A">
        <w:rPr>
          <w:rFonts w:ascii="Arial" w:hAnsi="Arial" w:cs="Arial"/>
          <w:sz w:val="20"/>
          <w:szCs w:val="20"/>
        </w:rPr>
        <w:t xml:space="preserve">rdynacji </w:t>
      </w:r>
      <w:r w:rsidR="00A94E26" w:rsidRPr="005C158A">
        <w:rPr>
          <w:rFonts w:ascii="Arial" w:hAnsi="Arial" w:cs="Arial"/>
          <w:sz w:val="20"/>
          <w:szCs w:val="20"/>
        </w:rPr>
        <w:t>p</w:t>
      </w:r>
      <w:r w:rsidR="00FA6630" w:rsidRPr="005C158A">
        <w:rPr>
          <w:rFonts w:ascii="Arial" w:hAnsi="Arial" w:cs="Arial"/>
          <w:sz w:val="20"/>
          <w:szCs w:val="20"/>
        </w:rPr>
        <w:t>odatkowej</w:t>
      </w:r>
      <w:r w:rsidR="0039577C" w:rsidRPr="005C158A">
        <w:rPr>
          <w:rFonts w:ascii="Arial" w:hAnsi="Arial" w:cs="Arial"/>
          <w:sz w:val="20"/>
          <w:szCs w:val="20"/>
        </w:rPr>
        <w:t xml:space="preserve"> (zwanej dalej „</w:t>
      </w:r>
      <w:proofErr w:type="spellStart"/>
      <w:r w:rsidR="0039577C" w:rsidRPr="005C158A">
        <w:rPr>
          <w:rFonts w:ascii="Arial" w:hAnsi="Arial" w:cs="Arial"/>
          <w:sz w:val="20"/>
          <w:szCs w:val="20"/>
        </w:rPr>
        <w:t>Op</w:t>
      </w:r>
      <w:proofErr w:type="spellEnd"/>
      <w:r w:rsidR="0039577C" w:rsidRPr="005C158A">
        <w:rPr>
          <w:rFonts w:ascii="Arial" w:hAnsi="Arial" w:cs="Arial"/>
          <w:sz w:val="20"/>
          <w:szCs w:val="20"/>
        </w:rPr>
        <w:t>”)</w:t>
      </w:r>
      <w:r w:rsidR="002D7E9C" w:rsidRPr="005C158A">
        <w:rPr>
          <w:rFonts w:ascii="Arial" w:hAnsi="Arial" w:cs="Arial"/>
          <w:sz w:val="20"/>
          <w:szCs w:val="20"/>
        </w:rPr>
        <w:t xml:space="preserve"> i w obecnym brzmieniu obowiązuje od 2016 r.  </w:t>
      </w:r>
    </w:p>
    <w:p w14:paraId="61E19A69" w14:textId="7934EB46" w:rsidR="002D7E9C" w:rsidRPr="005C158A" w:rsidRDefault="002D7E9C"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Osobiste stawiennictwo</w:t>
      </w:r>
      <w:r w:rsidR="00A94E26" w:rsidRPr="005C158A">
        <w:rPr>
          <w:rFonts w:ascii="Arial" w:hAnsi="Arial" w:cs="Arial"/>
          <w:sz w:val="20"/>
          <w:szCs w:val="20"/>
        </w:rPr>
        <w:t>.</w:t>
      </w:r>
      <w:r w:rsidRPr="005C158A">
        <w:rPr>
          <w:rFonts w:ascii="Arial" w:hAnsi="Arial" w:cs="Arial"/>
          <w:sz w:val="20"/>
          <w:szCs w:val="20"/>
        </w:rPr>
        <w:t xml:space="preserve"> </w:t>
      </w:r>
    </w:p>
    <w:p w14:paraId="66413866" w14:textId="118EFC9F" w:rsidR="00C21DF6" w:rsidRPr="005C158A" w:rsidRDefault="002D7E9C" w:rsidP="00C21DF6">
      <w:pPr>
        <w:spacing w:before="120" w:after="120" w:line="360" w:lineRule="auto"/>
        <w:jc w:val="both"/>
        <w:rPr>
          <w:rFonts w:ascii="Arial" w:hAnsi="Arial" w:cs="Arial"/>
          <w:sz w:val="20"/>
          <w:szCs w:val="20"/>
        </w:rPr>
      </w:pPr>
      <w:bookmarkStart w:id="10" w:name="_Hlk137068119"/>
      <w:r w:rsidRPr="005C158A">
        <w:rPr>
          <w:rFonts w:ascii="Arial" w:hAnsi="Arial" w:cs="Arial"/>
          <w:sz w:val="20"/>
          <w:szCs w:val="20"/>
        </w:rPr>
        <w:t xml:space="preserve">Zagadnienie udziału w podejmowanych czynnościach przez stronę w trakcie postępowania administracyjnego regulują przede wszystkim art. 50-54 </w:t>
      </w:r>
      <w:r w:rsidR="00376342" w:rsidRPr="005C158A">
        <w:rPr>
          <w:rFonts w:ascii="Arial" w:hAnsi="Arial" w:cs="Arial"/>
          <w:sz w:val="20"/>
          <w:szCs w:val="20"/>
        </w:rPr>
        <w:t>Kpa</w:t>
      </w:r>
      <w:r w:rsidR="00A94E26" w:rsidRPr="005C158A">
        <w:rPr>
          <w:rFonts w:ascii="Arial" w:hAnsi="Arial" w:cs="Arial"/>
          <w:sz w:val="20"/>
          <w:szCs w:val="20"/>
        </w:rPr>
        <w:t>.</w:t>
      </w:r>
      <w:r w:rsidRPr="005C158A">
        <w:rPr>
          <w:rFonts w:ascii="Arial" w:hAnsi="Arial" w:cs="Arial"/>
          <w:sz w:val="20"/>
          <w:szCs w:val="20"/>
        </w:rPr>
        <w:t xml:space="preserve"> Wskazują one, że organ administracji publicznej może wzywać osoby do udziału w podejmowanych czynnościach i do złożenia wyjaśnień lub zeznań osobiście, przez pełnomocnika lub na piśmie, jeżeli jest to niezbędne dla rozstrzygnięcia sprawy lub dla wykonywania czynności urzędowych. Przepisy bezpośrednio nie tworzą „preferencji” w zakresie wymienionych form, wskazują jednak, że zadośćuczynienie wezwaniu nie powinno być uciążliwe.</w:t>
      </w:r>
      <w:r w:rsidR="00C21DF6" w:rsidRPr="005C158A">
        <w:rPr>
          <w:rFonts w:ascii="Arial" w:hAnsi="Arial" w:cs="Arial"/>
          <w:sz w:val="20"/>
          <w:szCs w:val="20"/>
        </w:rPr>
        <w:t xml:space="preserve"> </w:t>
      </w:r>
    </w:p>
    <w:p w14:paraId="670D9C94" w14:textId="7C5F5708" w:rsidR="00C151DB" w:rsidRPr="005C158A" w:rsidRDefault="00C21DF6" w:rsidP="00B13224">
      <w:pPr>
        <w:spacing w:before="120" w:after="120" w:line="360" w:lineRule="auto"/>
        <w:jc w:val="both"/>
        <w:rPr>
          <w:rFonts w:ascii="Arial" w:hAnsi="Arial" w:cs="Arial"/>
          <w:sz w:val="20"/>
          <w:szCs w:val="20"/>
        </w:rPr>
      </w:pPr>
      <w:r w:rsidRPr="005C158A">
        <w:rPr>
          <w:rFonts w:ascii="Arial" w:hAnsi="Arial" w:cs="Arial"/>
          <w:sz w:val="20"/>
          <w:szCs w:val="20"/>
        </w:rPr>
        <w:t xml:space="preserve">Projektodawca przeprowadził badania wśród urzędów wojewódzkich. Osobiste stawiennictwo było stosowane do ok. 25% spraw. </w:t>
      </w:r>
      <w:r w:rsidR="00C151DB" w:rsidRPr="005C158A">
        <w:rPr>
          <w:rFonts w:ascii="Arial" w:hAnsi="Arial" w:cs="Arial"/>
          <w:sz w:val="20"/>
          <w:szCs w:val="20"/>
        </w:rPr>
        <w:t xml:space="preserve">Starając się zachęcić organy do rzadszego stosowania osobistego udziału (lub udziału przez pełnomocnika) proponuje się nowe brzmienie </w:t>
      </w:r>
      <w:r w:rsidR="00C151DB" w:rsidRPr="005C158A">
        <w:rPr>
          <w:rFonts w:ascii="Arial" w:hAnsi="Arial" w:cs="Arial"/>
          <w:b/>
          <w:bCs/>
          <w:sz w:val="20"/>
          <w:szCs w:val="20"/>
        </w:rPr>
        <w:t xml:space="preserve">art. 50 Kpa, które ma </w:t>
      </w:r>
      <w:r w:rsidR="00C151DB" w:rsidRPr="005C158A">
        <w:rPr>
          <w:rFonts w:ascii="Arial" w:hAnsi="Arial" w:cs="Arial"/>
          <w:sz w:val="20"/>
          <w:szCs w:val="20"/>
        </w:rPr>
        <w:t xml:space="preserve">jednoznacznie przesądzić o hierarchii form dokonywania czynności ze stroną w taki sposób by wezwanie jej do osobistego stawiennictwa nie było podstawowym narzędziem. Celem regulacji jest doprowadzenie do wykonywania czynności urzędowych w pierwszej kolejności na piśmie, a w uzasadnionych przypadkach w ramach osobistego stawiennictwa. Dlatego proponuje się zmianę w zakresie </w:t>
      </w:r>
      <w:r w:rsidR="00C151DB" w:rsidRPr="005C158A">
        <w:rPr>
          <w:rFonts w:ascii="Arial" w:hAnsi="Arial" w:cs="Arial"/>
          <w:b/>
          <w:bCs/>
          <w:sz w:val="20"/>
          <w:szCs w:val="20"/>
        </w:rPr>
        <w:t>art. 54 Kpa</w:t>
      </w:r>
      <w:r w:rsidR="00C151DB" w:rsidRPr="005C158A">
        <w:rPr>
          <w:rFonts w:ascii="Arial" w:hAnsi="Arial" w:cs="Arial"/>
          <w:sz w:val="20"/>
          <w:szCs w:val="20"/>
        </w:rPr>
        <w:t xml:space="preserve"> polegająca na dodaniu konieczności sporządzenia przez organ zwięzłego uzasadnienia, </w:t>
      </w:r>
      <w:r w:rsidR="00F21364" w:rsidRPr="005C158A">
        <w:rPr>
          <w:rFonts w:ascii="Arial" w:hAnsi="Arial" w:cs="Arial"/>
          <w:sz w:val="20"/>
          <w:szCs w:val="20"/>
        </w:rPr>
        <w:t>wskazującego</w:t>
      </w:r>
      <w:r w:rsidR="00C151DB" w:rsidRPr="005C158A">
        <w:rPr>
          <w:rFonts w:ascii="Arial" w:hAnsi="Arial" w:cs="Arial"/>
          <w:sz w:val="20"/>
          <w:szCs w:val="20"/>
        </w:rPr>
        <w:t xml:space="preserve"> dlaczego wymagany jest udział osobisty lub przez pełnomocnika, a dana czynność nie może być dokonana na piśmie.</w:t>
      </w:r>
    </w:p>
    <w:bookmarkEnd w:id="10"/>
    <w:p w14:paraId="1B3D1EAC" w14:textId="1E23C012" w:rsidR="0035256B" w:rsidRPr="005C158A" w:rsidRDefault="0035256B"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Zmiany w zakresie mediacji</w:t>
      </w:r>
      <w:r w:rsidR="00A94E26" w:rsidRPr="005C158A">
        <w:rPr>
          <w:rFonts w:ascii="Arial" w:hAnsi="Arial" w:cs="Arial"/>
          <w:sz w:val="20"/>
          <w:szCs w:val="20"/>
        </w:rPr>
        <w:t>.</w:t>
      </w:r>
    </w:p>
    <w:p w14:paraId="01E73C58" w14:textId="5C8C26B0" w:rsidR="0035256B" w:rsidRPr="005C158A" w:rsidRDefault="0035256B"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2017 r. do </w:t>
      </w:r>
      <w:r w:rsidR="00A94E26" w:rsidRPr="005C158A">
        <w:rPr>
          <w:rFonts w:ascii="Arial" w:hAnsi="Arial" w:cs="Arial"/>
          <w:sz w:val="20"/>
          <w:szCs w:val="20"/>
        </w:rPr>
        <w:t>Kpa</w:t>
      </w:r>
      <w:r w:rsidRPr="005C158A">
        <w:rPr>
          <w:rFonts w:ascii="Arial" w:hAnsi="Arial" w:cs="Arial"/>
          <w:sz w:val="20"/>
          <w:szCs w:val="20"/>
        </w:rPr>
        <w:t xml:space="preserve"> wprowadzono szerokie możliwości prowadzenia mediacji w sprawach administracyjnych, w których organ administracji publicznej działa w granicach uznania administracyjnego lub gdy strony mają sporne interesy. Mediacja przyczynia się do budowania zaufania obywateli do organów administracji publicznej oraz profesjonalizacji załatwiania spraw. Stanowi przy tym wyraz nowoczesnych form współdziałania obywateli i aparatu administracyjnego. Z</w:t>
      </w:r>
      <w:r w:rsidR="00295358" w:rsidRPr="005C158A">
        <w:rPr>
          <w:rFonts w:ascii="Arial" w:hAnsi="Arial" w:cs="Arial"/>
          <w:sz w:val="20"/>
          <w:szCs w:val="20"/>
        </w:rPr>
        <w:t> </w:t>
      </w:r>
      <w:r w:rsidRPr="005C158A">
        <w:rPr>
          <w:rFonts w:ascii="Arial" w:hAnsi="Arial" w:cs="Arial"/>
          <w:sz w:val="20"/>
          <w:szCs w:val="20"/>
        </w:rPr>
        <w:t xml:space="preserve">przeprowadzonej oceny skutków regulacji nowelizacji z 2017 r. wynika, że mediacja, mimo jej zalet, </w:t>
      </w:r>
      <w:r w:rsidRPr="005C158A">
        <w:rPr>
          <w:rFonts w:ascii="Arial" w:hAnsi="Arial" w:cs="Arial"/>
          <w:sz w:val="20"/>
          <w:szCs w:val="20"/>
        </w:rPr>
        <w:lastRenderedPageBreak/>
        <w:t>nie stała się powszechnym narzędziem w sprawach administracyjnych. Organy często wskazują, że nie postrzegają prowadzonych przez siebie spraw jako odpowiednich do przeprowadzenia mediacji. Pomijają istotę mediacji w sprawach administracyjnych, tj. wyjaśnienie stanu faktycznego i stanu prawnego przy wykorzystaniu środków zapewniających bezpośrednią i szybką komunikację ze stronami postępowania, a nade wszystko załatwienie sprawy w sposób zmniejszający ryzyko odwołania i</w:t>
      </w:r>
      <w:r w:rsidR="00295358" w:rsidRPr="005C158A">
        <w:rPr>
          <w:rFonts w:ascii="Arial" w:hAnsi="Arial" w:cs="Arial"/>
          <w:sz w:val="20"/>
          <w:szCs w:val="20"/>
        </w:rPr>
        <w:t> </w:t>
      </w:r>
      <w:r w:rsidRPr="005C158A">
        <w:rPr>
          <w:rFonts w:ascii="Arial" w:hAnsi="Arial" w:cs="Arial"/>
          <w:sz w:val="20"/>
          <w:szCs w:val="20"/>
        </w:rPr>
        <w:t>dalszego angażowania administracji publicznej lub sądów w rozpoznanie sprawy.</w:t>
      </w:r>
    </w:p>
    <w:p w14:paraId="1F02BBCF" w14:textId="49651308" w:rsidR="0035256B" w:rsidRPr="005C158A" w:rsidRDefault="0035256B" w:rsidP="00401710">
      <w:pPr>
        <w:spacing w:before="120" w:after="120" w:line="360" w:lineRule="auto"/>
        <w:jc w:val="both"/>
        <w:rPr>
          <w:rFonts w:ascii="Arial" w:hAnsi="Arial" w:cs="Arial"/>
          <w:sz w:val="20"/>
          <w:szCs w:val="20"/>
        </w:rPr>
      </w:pPr>
      <w:r w:rsidRPr="005C158A">
        <w:rPr>
          <w:rFonts w:ascii="Arial" w:hAnsi="Arial" w:cs="Arial"/>
          <w:sz w:val="20"/>
          <w:szCs w:val="20"/>
        </w:rPr>
        <w:t>Aktualnie w przepisach stwierdza się jedynie, że mediacja może być przeprowadzona, jeżeli pozwala na to charakter sprawy administracyjnej (art. 96a § 1). W celu zwiększenia wykorzystania mediacji w</w:t>
      </w:r>
      <w:r w:rsidR="00295358" w:rsidRPr="005C158A">
        <w:rPr>
          <w:rFonts w:ascii="Arial" w:hAnsi="Arial" w:cs="Arial"/>
          <w:sz w:val="20"/>
          <w:szCs w:val="20"/>
        </w:rPr>
        <w:t> </w:t>
      </w:r>
      <w:r w:rsidRPr="005C158A">
        <w:rPr>
          <w:rFonts w:ascii="Arial" w:hAnsi="Arial" w:cs="Arial"/>
          <w:sz w:val="20"/>
          <w:szCs w:val="20"/>
        </w:rPr>
        <w:t xml:space="preserve">toku postępowania administracyjnego proponuje się  </w:t>
      </w:r>
      <w:r w:rsidR="009C049C" w:rsidRPr="005C158A">
        <w:rPr>
          <w:rFonts w:ascii="Arial" w:hAnsi="Arial" w:cs="Arial"/>
          <w:sz w:val="20"/>
          <w:szCs w:val="20"/>
        </w:rPr>
        <w:t xml:space="preserve">doprecyzować, </w:t>
      </w:r>
      <w:r w:rsidRPr="005C158A">
        <w:rPr>
          <w:rFonts w:ascii="Arial" w:hAnsi="Arial" w:cs="Arial"/>
          <w:sz w:val="20"/>
          <w:szCs w:val="20"/>
        </w:rPr>
        <w:t>kiedy organy administracji publicznej powinny sięgać po to narzędzie i zapraszać strony do mediacji, zawiadamiając o możliwości przeprowadzenia mediacji oraz pouczając o zasadach jej prowadzenia i</w:t>
      </w:r>
      <w:r w:rsidR="00295358" w:rsidRPr="005C158A">
        <w:rPr>
          <w:rFonts w:ascii="Arial" w:hAnsi="Arial" w:cs="Arial"/>
          <w:sz w:val="20"/>
          <w:szCs w:val="20"/>
        </w:rPr>
        <w:t> </w:t>
      </w:r>
      <w:r w:rsidRPr="005C158A">
        <w:rPr>
          <w:rFonts w:ascii="Arial" w:hAnsi="Arial" w:cs="Arial"/>
          <w:sz w:val="20"/>
          <w:szCs w:val="20"/>
        </w:rPr>
        <w:t>kosztach.</w:t>
      </w:r>
    </w:p>
    <w:p w14:paraId="29A8108A" w14:textId="5D5670DD" w:rsidR="009C049C" w:rsidRPr="005C158A" w:rsidRDefault="00EF5C9D" w:rsidP="009C049C">
      <w:pPr>
        <w:spacing w:before="120" w:after="120" w:line="360" w:lineRule="auto"/>
        <w:jc w:val="both"/>
        <w:rPr>
          <w:rFonts w:ascii="Arial" w:hAnsi="Arial" w:cs="Arial"/>
          <w:sz w:val="20"/>
          <w:szCs w:val="20"/>
        </w:rPr>
      </w:pPr>
      <w:r w:rsidRPr="005C158A">
        <w:rPr>
          <w:rFonts w:ascii="Arial" w:hAnsi="Arial" w:cs="Arial"/>
          <w:sz w:val="20"/>
          <w:szCs w:val="20"/>
        </w:rPr>
        <w:t xml:space="preserve">Dlatego proponuje się dodanie </w:t>
      </w:r>
      <w:r w:rsidRPr="005C158A">
        <w:rPr>
          <w:rFonts w:ascii="Arial" w:hAnsi="Arial" w:cs="Arial"/>
          <w:b/>
          <w:bCs/>
          <w:sz w:val="20"/>
          <w:szCs w:val="20"/>
        </w:rPr>
        <w:t>art. 96</w:t>
      </w:r>
      <w:r w:rsidR="009C049C" w:rsidRPr="005C158A">
        <w:rPr>
          <w:rFonts w:ascii="Arial" w:hAnsi="Arial" w:cs="Arial"/>
          <w:b/>
          <w:bCs/>
          <w:sz w:val="20"/>
          <w:szCs w:val="20"/>
        </w:rPr>
        <w:t>a</w:t>
      </w:r>
      <w:r w:rsidRPr="005C158A">
        <w:rPr>
          <w:rFonts w:ascii="Arial" w:hAnsi="Arial" w:cs="Arial"/>
          <w:b/>
          <w:bCs/>
          <w:sz w:val="20"/>
          <w:szCs w:val="20"/>
        </w:rPr>
        <w:t xml:space="preserve"> § 1a</w:t>
      </w:r>
      <w:r w:rsidR="00A94E26" w:rsidRPr="005C158A">
        <w:rPr>
          <w:rFonts w:ascii="Arial" w:hAnsi="Arial" w:cs="Arial"/>
          <w:b/>
          <w:bCs/>
          <w:sz w:val="20"/>
          <w:szCs w:val="20"/>
        </w:rPr>
        <w:t xml:space="preserve"> Kpa</w:t>
      </w:r>
      <w:r w:rsidRPr="005C158A">
        <w:rPr>
          <w:rFonts w:ascii="Arial" w:hAnsi="Arial" w:cs="Arial"/>
          <w:sz w:val="20"/>
          <w:szCs w:val="20"/>
        </w:rPr>
        <w:t xml:space="preserve">. </w:t>
      </w:r>
      <w:r w:rsidR="0035256B" w:rsidRPr="005C158A">
        <w:rPr>
          <w:rFonts w:ascii="Arial" w:hAnsi="Arial" w:cs="Arial"/>
          <w:sz w:val="20"/>
          <w:szCs w:val="20"/>
        </w:rPr>
        <w:t>Organ administracji publicznej miałby obowiązek zawiadomić o mediacji w sprawach,</w:t>
      </w:r>
      <w:r w:rsidR="009C049C" w:rsidRPr="005C158A">
        <w:rPr>
          <w:rFonts w:ascii="Arial" w:hAnsi="Arial" w:cs="Arial"/>
          <w:sz w:val="20"/>
          <w:szCs w:val="20"/>
        </w:rPr>
        <w:t xml:space="preserve"> które rozstrzyga w ramach uznania administracyjnego. Ponadto, </w:t>
      </w:r>
      <w:r w:rsidR="009C049C" w:rsidRPr="005C158A">
        <w:rPr>
          <w:rFonts w:ascii="Arial" w:hAnsi="Arial" w:cs="Arial"/>
          <w:b/>
          <w:bCs/>
          <w:sz w:val="20"/>
          <w:szCs w:val="20"/>
        </w:rPr>
        <w:t>art. 96b Kpa</w:t>
      </w:r>
      <w:r w:rsidR="009C049C" w:rsidRPr="005C158A">
        <w:rPr>
          <w:rFonts w:ascii="Arial" w:hAnsi="Arial" w:cs="Arial"/>
          <w:sz w:val="20"/>
          <w:szCs w:val="20"/>
        </w:rPr>
        <w:t xml:space="preserve"> proponuje się uzupełnić o wyraźne wskazanie, że zawiadomienie o możliwości mediacji może być ponawiane w toku sprawy, niezależnie od jej etapu a w pouczeniu o mediacji należy także poinformować o zaletach mediacji. Ma to na celu zwiększenie świadomości prawnej wśród obywateli o mediacji w postępowaniu administracyjnym.</w:t>
      </w:r>
    </w:p>
    <w:p w14:paraId="20E3E295" w14:textId="64953063" w:rsidR="0035256B" w:rsidRPr="005C158A" w:rsidRDefault="0035256B" w:rsidP="00401710">
      <w:pPr>
        <w:spacing w:before="120" w:after="120" w:line="360" w:lineRule="auto"/>
        <w:jc w:val="both"/>
        <w:rPr>
          <w:rFonts w:ascii="Arial" w:hAnsi="Arial" w:cs="Arial"/>
          <w:sz w:val="20"/>
          <w:szCs w:val="20"/>
        </w:rPr>
      </w:pPr>
      <w:r w:rsidRPr="005C158A">
        <w:rPr>
          <w:rFonts w:ascii="Arial" w:hAnsi="Arial" w:cs="Arial"/>
          <w:sz w:val="20"/>
          <w:szCs w:val="20"/>
        </w:rPr>
        <w:t>Proponowana zmiana nie wpływa na dobrowolność udziału strony postępowania administracyjnego w</w:t>
      </w:r>
      <w:r w:rsidR="00295358" w:rsidRPr="005C158A">
        <w:rPr>
          <w:rFonts w:ascii="Arial" w:hAnsi="Arial" w:cs="Arial"/>
          <w:sz w:val="20"/>
          <w:szCs w:val="20"/>
        </w:rPr>
        <w:t> </w:t>
      </w:r>
      <w:r w:rsidRPr="005C158A">
        <w:rPr>
          <w:rFonts w:ascii="Arial" w:hAnsi="Arial" w:cs="Arial"/>
          <w:sz w:val="20"/>
          <w:szCs w:val="20"/>
        </w:rPr>
        <w:t>mediacji.</w:t>
      </w:r>
    </w:p>
    <w:p w14:paraId="61456F58" w14:textId="3243E592" w:rsidR="0060210D" w:rsidRPr="005C158A" w:rsidRDefault="0060210D"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Umarzanie zawieszonych postępowań</w:t>
      </w:r>
      <w:r w:rsidR="00A94E26" w:rsidRPr="005C158A">
        <w:rPr>
          <w:rFonts w:ascii="Arial" w:hAnsi="Arial" w:cs="Arial"/>
          <w:sz w:val="20"/>
          <w:szCs w:val="20"/>
        </w:rPr>
        <w:t>.</w:t>
      </w:r>
    </w:p>
    <w:p w14:paraId="3FCD6739" w14:textId="300686C6" w:rsidR="0060210D"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00A7558A" w:rsidRPr="005C158A">
        <w:rPr>
          <w:rFonts w:ascii="Arial" w:hAnsi="Arial" w:cs="Arial"/>
          <w:sz w:val="20"/>
          <w:szCs w:val="20"/>
        </w:rPr>
        <w:t>Kpa</w:t>
      </w:r>
      <w:r w:rsidRPr="005C158A">
        <w:rPr>
          <w:rFonts w:ascii="Arial" w:hAnsi="Arial" w:cs="Arial"/>
          <w:sz w:val="20"/>
          <w:szCs w:val="20"/>
        </w:rPr>
        <w:t xml:space="preserve"> wprowadza się przepis określający termin, po upływie którego postępowanie zawieszone z przyczyn obligatoryjnych, w oparciu o podstawy wymienione w art. 97 § 1 </w:t>
      </w:r>
      <w:r w:rsidR="00376342" w:rsidRPr="005C158A">
        <w:rPr>
          <w:rFonts w:ascii="Arial" w:hAnsi="Arial" w:cs="Arial"/>
          <w:sz w:val="20"/>
          <w:szCs w:val="20"/>
        </w:rPr>
        <w:t>Kpa</w:t>
      </w:r>
      <w:r w:rsidRPr="005C158A">
        <w:rPr>
          <w:rFonts w:ascii="Arial" w:hAnsi="Arial" w:cs="Arial"/>
          <w:sz w:val="20"/>
          <w:szCs w:val="20"/>
        </w:rPr>
        <w:t>, będzie ulegało umorzeniu</w:t>
      </w:r>
      <w:r w:rsidR="00A139F6" w:rsidRPr="005C158A">
        <w:rPr>
          <w:rFonts w:ascii="Arial" w:hAnsi="Arial" w:cs="Arial"/>
          <w:sz w:val="20"/>
          <w:szCs w:val="20"/>
        </w:rPr>
        <w:t>,</w:t>
      </w:r>
      <w:r w:rsidR="00893C49" w:rsidRPr="005C158A">
        <w:rPr>
          <w:rFonts w:ascii="Arial" w:hAnsi="Arial" w:cs="Arial"/>
          <w:sz w:val="20"/>
          <w:szCs w:val="20"/>
        </w:rPr>
        <w:t xml:space="preserve"> o ile</w:t>
      </w:r>
      <w:r w:rsidRPr="005C158A">
        <w:rPr>
          <w:rFonts w:ascii="Arial" w:hAnsi="Arial" w:cs="Arial"/>
          <w:sz w:val="20"/>
          <w:szCs w:val="20"/>
        </w:rPr>
        <w:t xml:space="preserve"> nie będą sprzeciwiać się temu </w:t>
      </w:r>
      <w:r w:rsidR="00A7558A" w:rsidRPr="005C158A">
        <w:rPr>
          <w:rFonts w:ascii="Arial" w:hAnsi="Arial" w:cs="Arial"/>
          <w:sz w:val="20"/>
          <w:szCs w:val="20"/>
        </w:rPr>
        <w:t>pozostałe</w:t>
      </w:r>
      <w:r w:rsidRPr="005C158A">
        <w:rPr>
          <w:rFonts w:ascii="Arial" w:hAnsi="Arial" w:cs="Arial"/>
          <w:sz w:val="20"/>
          <w:szCs w:val="20"/>
        </w:rPr>
        <w:t xml:space="preserve"> strony oraz nie będzie zagrażało to interesowi społecznemu.</w:t>
      </w:r>
    </w:p>
    <w:p w14:paraId="45FDD0E5" w14:textId="10A9DDA3" w:rsidR="0060210D"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Przyjęto, że umorzenie zawieszonego postępowania nastąpi, gdy zaistniałe przeszkody do kontynuowania postępowania nie zostaną usunięte w terminie trzech lat od daty zawieszenia postępowania. Termin ten jest tożsamy z terminem przyjętym w art. 98 § 2 </w:t>
      </w:r>
      <w:r w:rsidR="00376342" w:rsidRPr="005C158A">
        <w:rPr>
          <w:rFonts w:ascii="Arial" w:hAnsi="Arial" w:cs="Arial"/>
          <w:sz w:val="20"/>
          <w:szCs w:val="20"/>
        </w:rPr>
        <w:t>Kpa.</w:t>
      </w:r>
    </w:p>
    <w:p w14:paraId="3543BD34" w14:textId="476DF500" w:rsidR="0060210D"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Należy zauważyć, że </w:t>
      </w:r>
      <w:r w:rsidR="00A139F6" w:rsidRPr="005C158A">
        <w:rPr>
          <w:rFonts w:ascii="Arial" w:hAnsi="Arial" w:cs="Arial"/>
          <w:sz w:val="20"/>
          <w:szCs w:val="20"/>
        </w:rPr>
        <w:t xml:space="preserve">obecnie </w:t>
      </w:r>
      <w:r w:rsidRPr="005C158A">
        <w:rPr>
          <w:rFonts w:ascii="Arial" w:hAnsi="Arial" w:cs="Arial"/>
          <w:sz w:val="20"/>
          <w:szCs w:val="20"/>
        </w:rPr>
        <w:t>K</w:t>
      </w:r>
      <w:r w:rsidR="00A7558A" w:rsidRPr="005C158A">
        <w:rPr>
          <w:rFonts w:ascii="Arial" w:hAnsi="Arial" w:cs="Arial"/>
          <w:sz w:val="20"/>
          <w:szCs w:val="20"/>
        </w:rPr>
        <w:t>pa</w:t>
      </w:r>
      <w:r w:rsidRPr="005C158A">
        <w:rPr>
          <w:rFonts w:ascii="Arial" w:hAnsi="Arial" w:cs="Arial"/>
          <w:sz w:val="20"/>
          <w:szCs w:val="20"/>
        </w:rPr>
        <w:t xml:space="preserve"> przewiduje taki trzyletni termin jedynie w art. 98 § 2</w:t>
      </w:r>
      <w:r w:rsidR="00376342" w:rsidRPr="005C158A">
        <w:rPr>
          <w:rFonts w:ascii="Arial" w:hAnsi="Arial" w:cs="Arial"/>
          <w:sz w:val="20"/>
          <w:szCs w:val="20"/>
        </w:rPr>
        <w:t xml:space="preserve"> Kpa</w:t>
      </w:r>
      <w:r w:rsidRPr="005C158A">
        <w:rPr>
          <w:rFonts w:ascii="Arial" w:hAnsi="Arial" w:cs="Arial"/>
          <w:sz w:val="20"/>
          <w:szCs w:val="20"/>
        </w:rPr>
        <w:t xml:space="preserve"> w</w:t>
      </w:r>
      <w:r w:rsidR="00295358" w:rsidRPr="005C158A">
        <w:rPr>
          <w:rFonts w:ascii="Arial" w:hAnsi="Arial" w:cs="Arial"/>
          <w:sz w:val="20"/>
          <w:szCs w:val="20"/>
        </w:rPr>
        <w:t> </w:t>
      </w:r>
      <w:r w:rsidRPr="005C158A">
        <w:rPr>
          <w:rFonts w:ascii="Arial" w:hAnsi="Arial" w:cs="Arial"/>
          <w:sz w:val="20"/>
          <w:szCs w:val="20"/>
        </w:rPr>
        <w:t xml:space="preserve">przypadku fakultatywnego zawieszenia postępowania na wniosek strony. Wprowadzenie podobnego przepisu </w:t>
      </w:r>
      <w:r w:rsidR="00A94E26" w:rsidRPr="005C158A">
        <w:rPr>
          <w:rFonts w:ascii="Arial" w:hAnsi="Arial" w:cs="Arial"/>
          <w:sz w:val="20"/>
          <w:szCs w:val="20"/>
        </w:rPr>
        <w:t xml:space="preserve">(proponowany </w:t>
      </w:r>
      <w:r w:rsidR="00A94E26" w:rsidRPr="005C158A">
        <w:rPr>
          <w:rFonts w:ascii="Arial" w:hAnsi="Arial" w:cs="Arial"/>
          <w:b/>
          <w:bCs/>
          <w:sz w:val="20"/>
          <w:szCs w:val="20"/>
        </w:rPr>
        <w:t>art. 97 § 4 Kpa</w:t>
      </w:r>
      <w:r w:rsidR="00A94E26" w:rsidRPr="005C158A">
        <w:rPr>
          <w:rFonts w:ascii="Arial" w:hAnsi="Arial" w:cs="Arial"/>
          <w:sz w:val="20"/>
          <w:szCs w:val="20"/>
        </w:rPr>
        <w:t xml:space="preserve">) </w:t>
      </w:r>
      <w:r w:rsidRPr="005C158A">
        <w:rPr>
          <w:rFonts w:ascii="Arial" w:hAnsi="Arial" w:cs="Arial"/>
          <w:sz w:val="20"/>
          <w:szCs w:val="20"/>
        </w:rPr>
        <w:t>również w odniesieniu do postępowań obligatoryjnie zawieszonych na podstawie przesłanek z art. 97 § 1 pkt 1-</w:t>
      </w:r>
      <w:r w:rsidR="00A7558A" w:rsidRPr="005C158A">
        <w:rPr>
          <w:rFonts w:ascii="Arial" w:hAnsi="Arial" w:cs="Arial"/>
          <w:sz w:val="20"/>
          <w:szCs w:val="20"/>
        </w:rPr>
        <w:t>3a</w:t>
      </w:r>
      <w:r w:rsidR="00376342" w:rsidRPr="005C158A">
        <w:rPr>
          <w:rFonts w:ascii="Arial" w:hAnsi="Arial" w:cs="Arial"/>
          <w:sz w:val="20"/>
          <w:szCs w:val="20"/>
        </w:rPr>
        <w:t xml:space="preserve"> Kpa</w:t>
      </w:r>
      <w:r w:rsidRPr="005C158A">
        <w:rPr>
          <w:rFonts w:ascii="Arial" w:hAnsi="Arial" w:cs="Arial"/>
          <w:sz w:val="20"/>
          <w:szCs w:val="20"/>
        </w:rPr>
        <w:t>, miałoby charakter porządkujący system prawny i zapobiegałoby sytuacji wieloletniego zawieszenia postępowania administracyjnego, w</w:t>
      </w:r>
      <w:r w:rsidR="00295358" w:rsidRPr="005C158A">
        <w:rPr>
          <w:rFonts w:ascii="Arial" w:hAnsi="Arial" w:cs="Arial"/>
          <w:sz w:val="20"/>
          <w:szCs w:val="20"/>
        </w:rPr>
        <w:t> </w:t>
      </w:r>
      <w:r w:rsidRPr="005C158A">
        <w:rPr>
          <w:rFonts w:ascii="Arial" w:hAnsi="Arial" w:cs="Arial"/>
          <w:sz w:val="20"/>
          <w:szCs w:val="20"/>
        </w:rPr>
        <w:t>przypadku, np. gdy strony postępowania nie są już zainteresowane wydaniem danego rozstrzygnięcia i nie podejmują własnych działań lub nie współpracują z organem administracji publicznej, w celu usunięcia przeszkody do dalszego prowadzenia postępowania.</w:t>
      </w:r>
    </w:p>
    <w:p w14:paraId="17A587E7" w14:textId="6AC9394E"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 xml:space="preserve">Przepis co do zasady odnosi się do zawieszenia postępowania w przypadku śmierci strony, przedstawiciela ustawowego albo śmierci jej pełnomocnika bądź utraty przez stronę lub przez jej ustawowego przedstawiciela zdolności do czynności prawnych, a więc brak jest możliwości wskazania, </w:t>
      </w:r>
      <w:r w:rsidRPr="005C158A">
        <w:rPr>
          <w:rFonts w:ascii="Arial" w:hAnsi="Arial" w:cs="Arial"/>
          <w:sz w:val="20"/>
          <w:szCs w:val="20"/>
        </w:rPr>
        <w:lastRenderedPageBreak/>
        <w:t xml:space="preserve">kto jest obecnie stroną po śmierci strony albo ustalenia adresu strony bądź niemożność działania strony w postępowania ze względu utratę przez stronę lub przez jej ustawowego przedstawiciela zdolności do czynności prawnych. Niemniej jednak należy mieć na uwadze, że w postępowaniu obok ww. stron mogą również uczestniczyć pozostałe strony, które powinny zgodzić się na umorzenie postępowania. W związku z tym w art. 97 § 4 Kpa uzależniono umorzenie postępowania od braku wniesienia sprzeciwu pozostałych stron postępowania, innych niż wymienione w art. 97 § 1–3a Kpa. Jednocześnie jeżeli w okresie trzech lat od daty zawieszenia postępowania nie zostały usunięte przeszkody do dalszego prowadzenia postępowania, o których mowa w § 1 pkt 1–3a, organ administracji publicznej planujący wydanie decyzji o umorzeniu postępowania, przed jego wydaniem, powinien zwrócić się w formie zwykłego pisma o stanowisko stron w przedmiocie planowanego umorzenia postępowania, wyznaczając stronom termin na odpowiedź i wniesienie ewentualnego sprzeciwu. </w:t>
      </w:r>
    </w:p>
    <w:p w14:paraId="4B6A8116" w14:textId="4595363F" w:rsidR="00A7558A" w:rsidRPr="005C158A" w:rsidRDefault="00A7558A"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art. 97 § 5 Kpa proponuje się, aby w przypadku umorzenia postępowania decyzja w tym zakresie dla stron, o których mowa w art. 97 § 1 pkt 1–3a Kpa, pozostawiana była w aktach sprawy ze względu na to, że strony te są już albo nieznane albo niezdolne do czynności prawnych. </w:t>
      </w:r>
    </w:p>
    <w:p w14:paraId="11CCCA5E" w14:textId="42DBC496" w:rsidR="009367E6"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Jednocześnie nie będzie możliwości umorzenia postępowania z ww. powodu w przypadku, gdy postępowanie administracyjne zostało wszczęte z urzędu (proponowany </w:t>
      </w:r>
      <w:r w:rsidRPr="005C158A">
        <w:rPr>
          <w:rFonts w:ascii="Arial" w:hAnsi="Arial" w:cs="Arial"/>
          <w:b/>
          <w:bCs/>
          <w:sz w:val="20"/>
          <w:szCs w:val="20"/>
        </w:rPr>
        <w:t xml:space="preserve">art. 97 § </w:t>
      </w:r>
      <w:r w:rsidR="00A7558A" w:rsidRPr="005C158A">
        <w:rPr>
          <w:rFonts w:ascii="Arial" w:hAnsi="Arial" w:cs="Arial"/>
          <w:b/>
          <w:bCs/>
          <w:sz w:val="20"/>
          <w:szCs w:val="20"/>
        </w:rPr>
        <w:t>6</w:t>
      </w:r>
      <w:r w:rsidR="00376342" w:rsidRPr="005C158A">
        <w:rPr>
          <w:rFonts w:ascii="Arial" w:hAnsi="Arial" w:cs="Arial"/>
          <w:b/>
          <w:bCs/>
          <w:sz w:val="20"/>
          <w:szCs w:val="20"/>
        </w:rPr>
        <w:t xml:space="preserve"> Kpa</w:t>
      </w:r>
      <w:r w:rsidRPr="005C158A">
        <w:rPr>
          <w:rFonts w:ascii="Arial" w:hAnsi="Arial" w:cs="Arial"/>
          <w:sz w:val="20"/>
          <w:szCs w:val="20"/>
        </w:rPr>
        <w:t xml:space="preserve">). Należy zauważyć, że w takim przypadku postępowanie jest wszczynane zazwyczaj w związku z nałożeniem obowiązku administracyjnego na stronę. Zatem organ administracji publicznej powinien w takim przypadku dążyć do usunięcia przeszkody </w:t>
      </w:r>
      <w:r w:rsidR="00A7558A" w:rsidRPr="005C158A">
        <w:rPr>
          <w:rFonts w:ascii="Arial" w:hAnsi="Arial" w:cs="Arial"/>
          <w:sz w:val="20"/>
          <w:szCs w:val="20"/>
        </w:rPr>
        <w:t xml:space="preserve">do dalszego prowadzenia </w:t>
      </w:r>
      <w:r w:rsidRPr="005C158A">
        <w:rPr>
          <w:rFonts w:ascii="Arial" w:hAnsi="Arial" w:cs="Arial"/>
          <w:sz w:val="20"/>
          <w:szCs w:val="20"/>
        </w:rPr>
        <w:t xml:space="preserve">postępowania w celu wyegzekwowania należnych od strony zobowiązań. </w:t>
      </w:r>
    </w:p>
    <w:p w14:paraId="0C22C31F" w14:textId="159E3951" w:rsidR="00F35D9E" w:rsidRPr="005C158A" w:rsidRDefault="00497E1D"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Decyzja hybrydowa</w:t>
      </w:r>
      <w:r w:rsidR="00A94E26" w:rsidRPr="005C158A">
        <w:rPr>
          <w:rFonts w:ascii="Arial" w:hAnsi="Arial" w:cs="Arial"/>
          <w:sz w:val="20"/>
          <w:szCs w:val="20"/>
        </w:rPr>
        <w:t>.</w:t>
      </w:r>
    </w:p>
    <w:p w14:paraId="3DCD60B6" w14:textId="4835777C" w:rsidR="00497E1D" w:rsidRPr="005C158A" w:rsidRDefault="00497E1D" w:rsidP="00401710">
      <w:pPr>
        <w:spacing w:before="120" w:after="120" w:line="360" w:lineRule="auto"/>
        <w:jc w:val="both"/>
        <w:rPr>
          <w:rFonts w:ascii="Arial" w:hAnsi="Arial" w:cs="Arial"/>
          <w:sz w:val="20"/>
          <w:szCs w:val="20"/>
        </w:rPr>
      </w:pPr>
      <w:r w:rsidRPr="005C158A">
        <w:rPr>
          <w:rFonts w:ascii="Arial" w:hAnsi="Arial" w:cs="Arial"/>
          <w:sz w:val="20"/>
          <w:szCs w:val="20"/>
        </w:rPr>
        <w:t>Zgodnie z obecnie obowiązującym art.</w:t>
      </w:r>
      <w:r w:rsidR="009367E6" w:rsidRPr="005C158A">
        <w:rPr>
          <w:rFonts w:ascii="Arial" w:hAnsi="Arial" w:cs="Arial"/>
          <w:sz w:val="20"/>
          <w:szCs w:val="20"/>
        </w:rPr>
        <w:t xml:space="preserve"> </w:t>
      </w:r>
      <w:r w:rsidRPr="005C158A">
        <w:rPr>
          <w:rFonts w:ascii="Arial" w:hAnsi="Arial" w:cs="Arial"/>
          <w:sz w:val="20"/>
          <w:szCs w:val="20"/>
        </w:rPr>
        <w:t xml:space="preserve">109 </w:t>
      </w:r>
      <w:r w:rsidR="00376342" w:rsidRPr="005C158A">
        <w:rPr>
          <w:rFonts w:ascii="Arial" w:hAnsi="Arial" w:cs="Arial"/>
          <w:sz w:val="20"/>
          <w:szCs w:val="20"/>
        </w:rPr>
        <w:t xml:space="preserve">Kpa </w:t>
      </w:r>
      <w:r w:rsidRPr="005C158A">
        <w:rPr>
          <w:rFonts w:ascii="Arial" w:hAnsi="Arial" w:cs="Arial"/>
          <w:sz w:val="20"/>
          <w:szCs w:val="20"/>
        </w:rPr>
        <w:t>decyzję doręcza się stronom na piśmie. Przy czym należy przez to rozumieć zarówno możliwość doręczenia decyzji w postaci papierowej</w:t>
      </w:r>
      <w:r w:rsidR="00A139F6" w:rsidRPr="005C158A">
        <w:rPr>
          <w:rFonts w:ascii="Arial" w:hAnsi="Arial" w:cs="Arial"/>
          <w:sz w:val="20"/>
          <w:szCs w:val="20"/>
        </w:rPr>
        <w:t>,</w:t>
      </w:r>
      <w:r w:rsidRPr="005C158A">
        <w:rPr>
          <w:rFonts w:ascii="Arial" w:hAnsi="Arial" w:cs="Arial"/>
          <w:sz w:val="20"/>
          <w:szCs w:val="20"/>
        </w:rPr>
        <w:t xml:space="preserve"> jak i</w:t>
      </w:r>
      <w:r w:rsidR="00295358" w:rsidRPr="005C158A">
        <w:rPr>
          <w:rFonts w:ascii="Arial" w:hAnsi="Arial" w:cs="Arial"/>
          <w:sz w:val="20"/>
          <w:szCs w:val="20"/>
        </w:rPr>
        <w:t> </w:t>
      </w:r>
      <w:r w:rsidRPr="005C158A">
        <w:rPr>
          <w:rFonts w:ascii="Arial" w:hAnsi="Arial" w:cs="Arial"/>
          <w:sz w:val="20"/>
          <w:szCs w:val="20"/>
        </w:rPr>
        <w:t>elektronicznej (zgodnie z zasadą pisemności wyrażoną w art. 14</w:t>
      </w:r>
      <w:r w:rsidR="00376342" w:rsidRPr="005C158A">
        <w:rPr>
          <w:rFonts w:ascii="Arial" w:hAnsi="Arial" w:cs="Arial"/>
          <w:sz w:val="20"/>
          <w:szCs w:val="20"/>
        </w:rPr>
        <w:t xml:space="preserve"> Kpa</w:t>
      </w:r>
      <w:r w:rsidRPr="005C158A">
        <w:rPr>
          <w:rFonts w:ascii="Arial" w:hAnsi="Arial" w:cs="Arial"/>
          <w:sz w:val="20"/>
          <w:szCs w:val="20"/>
        </w:rPr>
        <w:t>). Dotyczy to także wszystkich załączników do decyzji, które są wymagane prawem. Brak doręczenia załączników na piśmie może być uznawany za uchybienie mające wpływ na rozstrzygnięcie sprawy. Obecnie nie ma możliwości doręczeni</w:t>
      </w:r>
      <w:r w:rsidR="005168FA" w:rsidRPr="005C158A">
        <w:rPr>
          <w:rFonts w:ascii="Arial" w:hAnsi="Arial" w:cs="Arial"/>
          <w:sz w:val="20"/>
          <w:szCs w:val="20"/>
        </w:rPr>
        <w:t>a</w:t>
      </w:r>
      <w:r w:rsidRPr="005C158A">
        <w:rPr>
          <w:rFonts w:ascii="Arial" w:hAnsi="Arial" w:cs="Arial"/>
          <w:sz w:val="20"/>
          <w:szCs w:val="20"/>
        </w:rPr>
        <w:t xml:space="preserve"> przez organ załączników w innej postaci niż została doręczona decyzja. Oznacza to, że w</w:t>
      </w:r>
      <w:r w:rsidR="00295358" w:rsidRPr="005C158A">
        <w:rPr>
          <w:rFonts w:ascii="Arial" w:hAnsi="Arial" w:cs="Arial"/>
          <w:sz w:val="20"/>
          <w:szCs w:val="20"/>
        </w:rPr>
        <w:t> </w:t>
      </w:r>
      <w:r w:rsidRPr="005C158A">
        <w:rPr>
          <w:rFonts w:ascii="Arial" w:hAnsi="Arial" w:cs="Arial"/>
          <w:sz w:val="20"/>
          <w:szCs w:val="20"/>
        </w:rPr>
        <w:t xml:space="preserve">przypadku doręczenia decyzji w postaci papierowej załączniki do niej również muszą zostać doręczone w postaci papierowej. Bywa to szczególnie kłopotliwe </w:t>
      </w:r>
      <w:r w:rsidR="009367E6" w:rsidRPr="005C158A">
        <w:rPr>
          <w:rFonts w:ascii="Arial" w:hAnsi="Arial" w:cs="Arial"/>
          <w:sz w:val="20"/>
          <w:szCs w:val="20"/>
        </w:rPr>
        <w:t xml:space="preserve">zarówno dla organów jak i stron </w:t>
      </w:r>
      <w:r w:rsidRPr="005C158A">
        <w:rPr>
          <w:rFonts w:ascii="Arial" w:hAnsi="Arial" w:cs="Arial"/>
          <w:sz w:val="20"/>
          <w:szCs w:val="20"/>
        </w:rPr>
        <w:t>w</w:t>
      </w:r>
      <w:r w:rsidR="00295358" w:rsidRPr="005C158A">
        <w:rPr>
          <w:rFonts w:ascii="Arial" w:hAnsi="Arial" w:cs="Arial"/>
          <w:sz w:val="20"/>
          <w:szCs w:val="20"/>
        </w:rPr>
        <w:t> </w:t>
      </w:r>
      <w:r w:rsidRPr="005C158A">
        <w:rPr>
          <w:rFonts w:ascii="Arial" w:hAnsi="Arial" w:cs="Arial"/>
          <w:sz w:val="20"/>
          <w:szCs w:val="20"/>
        </w:rPr>
        <w:t>sytuacji dużej iloś</w:t>
      </w:r>
      <w:r w:rsidR="005168FA" w:rsidRPr="005C158A">
        <w:rPr>
          <w:rFonts w:ascii="Arial" w:hAnsi="Arial" w:cs="Arial"/>
          <w:sz w:val="20"/>
          <w:szCs w:val="20"/>
        </w:rPr>
        <w:t>ci</w:t>
      </w:r>
      <w:r w:rsidRPr="005C158A">
        <w:rPr>
          <w:rFonts w:ascii="Arial" w:hAnsi="Arial" w:cs="Arial"/>
          <w:sz w:val="20"/>
          <w:szCs w:val="20"/>
        </w:rPr>
        <w:t xml:space="preserve"> załączników lub załączników wielkoformatowych. Organ administracji publicznej jest zobowiązany do sporządzenia, uwierzytelnienia, doręczenia i archiwizowania znacznej ilości papierowych złączników. Z kolei strona przechowuje znaczne ilości dokumentów w postaci papierowej.</w:t>
      </w:r>
    </w:p>
    <w:p w14:paraId="0B040402" w14:textId="53985519" w:rsidR="00497E1D" w:rsidRPr="005C158A" w:rsidRDefault="00497E1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Mając powyższe na uwadze proponuje się wprowadzenie art. </w:t>
      </w:r>
      <w:r w:rsidRPr="005C158A">
        <w:rPr>
          <w:rFonts w:ascii="Arial" w:hAnsi="Arial" w:cs="Arial"/>
          <w:b/>
          <w:bCs/>
          <w:sz w:val="20"/>
          <w:szCs w:val="20"/>
        </w:rPr>
        <w:t xml:space="preserve">109 </w:t>
      </w:r>
      <w:r w:rsidR="0060210D" w:rsidRPr="005C158A">
        <w:rPr>
          <w:rFonts w:ascii="Arial" w:hAnsi="Arial" w:cs="Arial"/>
          <w:b/>
          <w:bCs/>
          <w:sz w:val="20"/>
          <w:szCs w:val="20"/>
        </w:rPr>
        <w:t>§ 3</w:t>
      </w:r>
      <w:r w:rsidR="00376342" w:rsidRPr="005C158A">
        <w:rPr>
          <w:rFonts w:ascii="Arial" w:hAnsi="Arial" w:cs="Arial"/>
          <w:b/>
          <w:bCs/>
          <w:sz w:val="20"/>
          <w:szCs w:val="20"/>
        </w:rPr>
        <w:t xml:space="preserve"> Kpa</w:t>
      </w:r>
      <w:r w:rsidR="00A139F6" w:rsidRPr="005C158A">
        <w:rPr>
          <w:rFonts w:ascii="Arial" w:hAnsi="Arial" w:cs="Arial"/>
          <w:b/>
          <w:bCs/>
          <w:sz w:val="20"/>
          <w:szCs w:val="20"/>
        </w:rPr>
        <w:t>,</w:t>
      </w:r>
      <w:r w:rsidRPr="005C158A">
        <w:rPr>
          <w:rFonts w:ascii="Arial" w:hAnsi="Arial" w:cs="Arial"/>
          <w:sz w:val="20"/>
          <w:szCs w:val="20"/>
        </w:rPr>
        <w:t xml:space="preserve"> zgodnie z któr</w:t>
      </w:r>
      <w:r w:rsidR="0060210D" w:rsidRPr="005C158A">
        <w:rPr>
          <w:rFonts w:ascii="Arial" w:hAnsi="Arial" w:cs="Arial"/>
          <w:sz w:val="20"/>
          <w:szCs w:val="20"/>
        </w:rPr>
        <w:t>ym</w:t>
      </w:r>
      <w:r w:rsidRPr="005C158A">
        <w:rPr>
          <w:rFonts w:ascii="Arial" w:hAnsi="Arial" w:cs="Arial"/>
          <w:sz w:val="20"/>
          <w:szCs w:val="20"/>
        </w:rPr>
        <w:t xml:space="preserve"> załączniki do decyzji </w:t>
      </w:r>
      <w:r w:rsidR="00807C5B" w:rsidRPr="005C158A">
        <w:rPr>
          <w:rFonts w:ascii="Arial" w:hAnsi="Arial" w:cs="Arial"/>
          <w:sz w:val="20"/>
          <w:szCs w:val="20"/>
        </w:rPr>
        <w:t>wydanej</w:t>
      </w:r>
      <w:r w:rsidRPr="005C158A">
        <w:rPr>
          <w:rFonts w:ascii="Arial" w:hAnsi="Arial" w:cs="Arial"/>
          <w:sz w:val="20"/>
          <w:szCs w:val="20"/>
        </w:rPr>
        <w:t xml:space="preserve"> w postaci papierowej mogą być doręczone na innym trwałym nośniku informacji</w:t>
      </w:r>
      <w:r w:rsidR="00807C5B" w:rsidRPr="005C158A">
        <w:rPr>
          <w:rFonts w:ascii="Arial" w:hAnsi="Arial" w:cs="Arial"/>
          <w:sz w:val="20"/>
          <w:szCs w:val="20"/>
        </w:rPr>
        <w:t>, za zgodą strony wyrażoną na piśmie albo ustnie do protokołu</w:t>
      </w:r>
      <w:r w:rsidRPr="005C158A">
        <w:rPr>
          <w:rFonts w:ascii="Arial" w:hAnsi="Arial" w:cs="Arial"/>
          <w:sz w:val="20"/>
          <w:szCs w:val="20"/>
        </w:rPr>
        <w:t>. Przepis ten daje możliwość doręczeni</w:t>
      </w:r>
      <w:r w:rsidR="00A139F6" w:rsidRPr="005C158A">
        <w:rPr>
          <w:rFonts w:ascii="Arial" w:hAnsi="Arial" w:cs="Arial"/>
          <w:sz w:val="20"/>
          <w:szCs w:val="20"/>
        </w:rPr>
        <w:t>a</w:t>
      </w:r>
      <w:r w:rsidRPr="005C158A">
        <w:rPr>
          <w:rFonts w:ascii="Arial" w:hAnsi="Arial" w:cs="Arial"/>
          <w:sz w:val="20"/>
          <w:szCs w:val="20"/>
        </w:rPr>
        <w:t xml:space="preserve"> załączników </w:t>
      </w:r>
      <w:r w:rsidR="0099573D" w:rsidRPr="005C158A">
        <w:rPr>
          <w:rFonts w:ascii="Arial" w:hAnsi="Arial" w:cs="Arial"/>
          <w:sz w:val="20"/>
          <w:szCs w:val="20"/>
        </w:rPr>
        <w:t xml:space="preserve">(w tym załączników </w:t>
      </w:r>
      <w:r w:rsidRPr="005C158A">
        <w:rPr>
          <w:rFonts w:ascii="Arial" w:hAnsi="Arial" w:cs="Arial"/>
          <w:sz w:val="20"/>
          <w:szCs w:val="20"/>
        </w:rPr>
        <w:t>znacznych rozmiarów</w:t>
      </w:r>
      <w:r w:rsidR="0099573D" w:rsidRPr="005C158A">
        <w:rPr>
          <w:rFonts w:ascii="Arial" w:hAnsi="Arial" w:cs="Arial"/>
          <w:sz w:val="20"/>
          <w:szCs w:val="20"/>
        </w:rPr>
        <w:t>)</w:t>
      </w:r>
      <w:r w:rsidRPr="005C158A">
        <w:rPr>
          <w:rFonts w:ascii="Arial" w:hAnsi="Arial" w:cs="Arial"/>
          <w:sz w:val="20"/>
          <w:szCs w:val="20"/>
        </w:rPr>
        <w:t xml:space="preserve"> na trwały</w:t>
      </w:r>
      <w:r w:rsidR="00A139F6" w:rsidRPr="005C158A">
        <w:rPr>
          <w:rFonts w:ascii="Arial" w:hAnsi="Arial" w:cs="Arial"/>
          <w:sz w:val="20"/>
          <w:szCs w:val="20"/>
        </w:rPr>
        <w:t>m</w:t>
      </w:r>
      <w:r w:rsidRPr="005C158A">
        <w:rPr>
          <w:rFonts w:ascii="Arial" w:hAnsi="Arial" w:cs="Arial"/>
          <w:sz w:val="20"/>
          <w:szCs w:val="20"/>
        </w:rPr>
        <w:t xml:space="preserve"> nośniku innym niż papier. </w:t>
      </w:r>
    </w:p>
    <w:p w14:paraId="341A64B1" w14:textId="34F0C9E9" w:rsidR="00497E1D" w:rsidRPr="005C158A" w:rsidRDefault="00497E1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Jednocześnie, wobec kilku funkcjonujących w polskim prawie definicji trwałego nośnika,  proponuje się wprowadzenie </w:t>
      </w:r>
      <w:r w:rsidR="00376342" w:rsidRPr="005C158A">
        <w:rPr>
          <w:rFonts w:ascii="Arial" w:hAnsi="Arial" w:cs="Arial"/>
          <w:sz w:val="20"/>
          <w:szCs w:val="20"/>
        </w:rPr>
        <w:t xml:space="preserve">(w </w:t>
      </w:r>
      <w:r w:rsidR="00376342" w:rsidRPr="005C158A">
        <w:rPr>
          <w:rFonts w:ascii="Arial" w:hAnsi="Arial" w:cs="Arial"/>
          <w:b/>
          <w:bCs/>
          <w:sz w:val="20"/>
          <w:szCs w:val="20"/>
        </w:rPr>
        <w:t>art. 109 § 4 Kpa</w:t>
      </w:r>
      <w:r w:rsidR="00376342" w:rsidRPr="005C158A">
        <w:rPr>
          <w:rFonts w:ascii="Arial" w:hAnsi="Arial" w:cs="Arial"/>
          <w:sz w:val="20"/>
          <w:szCs w:val="20"/>
        </w:rPr>
        <w:t xml:space="preserve">) </w:t>
      </w:r>
      <w:r w:rsidR="00A139F6" w:rsidRPr="005C158A">
        <w:rPr>
          <w:rFonts w:ascii="Arial" w:hAnsi="Arial" w:cs="Arial"/>
          <w:sz w:val="20"/>
          <w:szCs w:val="20"/>
        </w:rPr>
        <w:t>samoistnej</w:t>
      </w:r>
      <w:r w:rsidRPr="005C158A">
        <w:rPr>
          <w:rFonts w:ascii="Arial" w:hAnsi="Arial" w:cs="Arial"/>
          <w:sz w:val="20"/>
          <w:szCs w:val="20"/>
        </w:rPr>
        <w:t xml:space="preserve"> definicji na potrzeby funkcjonowania </w:t>
      </w:r>
      <w:r w:rsidR="00376342" w:rsidRPr="005C158A">
        <w:rPr>
          <w:rFonts w:ascii="Arial" w:hAnsi="Arial" w:cs="Arial"/>
          <w:sz w:val="20"/>
          <w:szCs w:val="20"/>
        </w:rPr>
        <w:t xml:space="preserve">Kodeksu. </w:t>
      </w:r>
      <w:r w:rsidRPr="005C158A">
        <w:rPr>
          <w:rFonts w:ascii="Arial" w:hAnsi="Arial" w:cs="Arial"/>
          <w:sz w:val="20"/>
          <w:szCs w:val="20"/>
        </w:rPr>
        <w:lastRenderedPageBreak/>
        <w:t>Proponuj</w:t>
      </w:r>
      <w:r w:rsidR="00A139F6" w:rsidRPr="005C158A">
        <w:rPr>
          <w:rFonts w:ascii="Arial" w:hAnsi="Arial" w:cs="Arial"/>
          <w:sz w:val="20"/>
          <w:szCs w:val="20"/>
        </w:rPr>
        <w:t>e</w:t>
      </w:r>
      <w:r w:rsidRPr="005C158A">
        <w:rPr>
          <w:rFonts w:ascii="Arial" w:hAnsi="Arial" w:cs="Arial"/>
          <w:sz w:val="20"/>
          <w:szCs w:val="20"/>
        </w:rPr>
        <w:t xml:space="preserve"> się, aby przez trwały nośnik informacji rozumieć każdy nośnik informacji umożliwiający przechowywanie przez czas niezbędny, wynikający z charakteru informacji oraz celu ich sporządzenia lub przekazania, zawartych na nim informacji w sposób uniemożliwiający ich zmianę lub pozwalający na odtworzenie informacji w wersji i formie, w jakiej zostały sporządzone lub przekazane. Definicja ta jest wzorowana na rozwiązaniu przyjętym w ustawie z dnia 27 maja 2004 r. o funduszach inwestycyjnych </w:t>
      </w:r>
      <w:bookmarkStart w:id="11" w:name="highlightHit_13"/>
      <w:bookmarkEnd w:id="11"/>
      <w:r w:rsidRPr="005C158A">
        <w:rPr>
          <w:rFonts w:ascii="Arial" w:hAnsi="Arial" w:cs="Arial"/>
          <w:sz w:val="20"/>
          <w:szCs w:val="20"/>
        </w:rPr>
        <w:t xml:space="preserve">i </w:t>
      </w:r>
      <w:bookmarkStart w:id="12" w:name="highlightHit_14"/>
      <w:bookmarkEnd w:id="12"/>
      <w:r w:rsidRPr="005C158A">
        <w:rPr>
          <w:rFonts w:ascii="Arial" w:hAnsi="Arial" w:cs="Arial"/>
          <w:sz w:val="20"/>
          <w:szCs w:val="20"/>
        </w:rPr>
        <w:t xml:space="preserve">zarządzaniu </w:t>
      </w:r>
      <w:bookmarkStart w:id="13" w:name="highlightHit_15"/>
      <w:bookmarkEnd w:id="13"/>
      <w:r w:rsidRPr="005C158A">
        <w:rPr>
          <w:rFonts w:ascii="Arial" w:hAnsi="Arial" w:cs="Arial"/>
          <w:sz w:val="20"/>
          <w:szCs w:val="20"/>
        </w:rPr>
        <w:t>alternatywnymi funduszami inwestycyjnymi.</w:t>
      </w:r>
    </w:p>
    <w:p w14:paraId="22DA759B" w14:textId="77777777" w:rsidR="00A7558A" w:rsidRPr="005C158A" w:rsidRDefault="00A7558A"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Zmiany w zakresie pouczeń do postanowień.</w:t>
      </w:r>
    </w:p>
    <w:p w14:paraId="3B1C9A51" w14:textId="367667D6" w:rsidR="00A7558A" w:rsidRPr="005C158A" w:rsidRDefault="00A7558A"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związku ze zmianami przepisów ustawy – Prawo o postępowaniu przed sądami administracyjnymi wprowadzona została zamiana </w:t>
      </w:r>
      <w:r w:rsidRPr="005C158A">
        <w:rPr>
          <w:rFonts w:ascii="Arial" w:hAnsi="Arial" w:cs="Arial"/>
          <w:b/>
          <w:bCs/>
          <w:sz w:val="20"/>
          <w:szCs w:val="20"/>
        </w:rPr>
        <w:t>art. 125 § 3 Kpa</w:t>
      </w:r>
      <w:r w:rsidRPr="005C158A">
        <w:rPr>
          <w:rFonts w:ascii="Arial" w:hAnsi="Arial" w:cs="Arial"/>
          <w:sz w:val="20"/>
          <w:szCs w:val="20"/>
        </w:rPr>
        <w:t xml:space="preserve"> poprzez dodanie regulacji przewidującej, że postanowienie, które może być zaskarżone do sądu administracyjnego, doręcza się stronie wraz z pouczeniem o dopuszczalności wniesienia skargi „lub sprzeciwu” oraz uzasadnieniem faktycznym i prawnym.</w:t>
      </w:r>
    </w:p>
    <w:p w14:paraId="36E0D1B1" w14:textId="3385F514" w:rsidR="00DD7EDC" w:rsidRPr="005C158A" w:rsidRDefault="00DD7EDC"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Zmiany w zakresie decyzji autokontroli organu</w:t>
      </w:r>
      <w:r w:rsidR="00A94E26" w:rsidRPr="005C158A">
        <w:rPr>
          <w:rFonts w:ascii="Arial" w:hAnsi="Arial" w:cs="Arial"/>
          <w:sz w:val="20"/>
          <w:szCs w:val="20"/>
        </w:rPr>
        <w:t>.</w:t>
      </w:r>
      <w:r w:rsidRPr="005C158A">
        <w:rPr>
          <w:rFonts w:ascii="Arial" w:hAnsi="Arial" w:cs="Arial"/>
          <w:sz w:val="20"/>
          <w:szCs w:val="20"/>
        </w:rPr>
        <w:t xml:space="preserve"> </w:t>
      </w:r>
    </w:p>
    <w:p w14:paraId="7B55F3B6" w14:textId="4635AB16" w:rsidR="00DD7EDC" w:rsidRPr="005C158A" w:rsidRDefault="00DD7EDC"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Zgodnie z </w:t>
      </w:r>
      <w:r w:rsidRPr="005C158A">
        <w:rPr>
          <w:rFonts w:ascii="Arial" w:hAnsi="Arial" w:cs="Arial"/>
          <w:b/>
          <w:bCs/>
          <w:sz w:val="20"/>
          <w:szCs w:val="20"/>
        </w:rPr>
        <w:t>art. 132 § 1</w:t>
      </w:r>
      <w:r w:rsidRPr="005C158A">
        <w:rPr>
          <w:rFonts w:ascii="Arial" w:hAnsi="Arial" w:cs="Arial"/>
          <w:sz w:val="20"/>
          <w:szCs w:val="20"/>
        </w:rPr>
        <w:t xml:space="preserve"> </w:t>
      </w:r>
      <w:r w:rsidRPr="005C158A">
        <w:rPr>
          <w:rFonts w:ascii="Arial" w:hAnsi="Arial" w:cs="Arial"/>
          <w:b/>
          <w:bCs/>
          <w:sz w:val="20"/>
          <w:szCs w:val="20"/>
        </w:rPr>
        <w:t>Kpa</w:t>
      </w:r>
      <w:r w:rsidR="00D84992" w:rsidRPr="005C158A">
        <w:rPr>
          <w:rFonts w:ascii="Arial" w:hAnsi="Arial" w:cs="Arial"/>
          <w:sz w:val="20"/>
          <w:szCs w:val="20"/>
        </w:rPr>
        <w:t>,</w:t>
      </w:r>
      <w:r w:rsidRPr="005C158A">
        <w:rPr>
          <w:rFonts w:ascii="Arial" w:hAnsi="Arial" w:cs="Arial"/>
          <w:sz w:val="20"/>
          <w:szCs w:val="20"/>
        </w:rPr>
        <w:t xml:space="preserve"> jeżeli odwołanie wniosły wszystkie strony, a organ administracji publicznej, który wydał decyzję, uzna, że to odwołanie zasługuje w całości na uwzględnienie, może wydać nową decyzję, w której uchyli lub zmieni zaskarżoną decyzję. Z literalnego brzmienia powyższego przepisu wynika, że organ może ograniczyć swoje rozstrzygnięcie jedynie do uchylenia decyzji. W orzecznictwie ugruntowało się stanowisko, że organ, który podejmuje się weryfikacji decyzji własnej jest zobowiązany załatwić sprawę w sposób pełny, czyli nie tylko uchylić własne rozstrzygnięcie, ale w to miejsce wydać decyzję taką, o którą wnioskuje strona. Może być to decyzja merytoryczna, ale także umarzająca postępowanie, jeżeli o to wnioskowała strona (np. wyrok NSA z 16 stycznia 2015 r., sygn.</w:t>
      </w:r>
      <w:r w:rsidR="00376342" w:rsidRPr="005C158A">
        <w:rPr>
          <w:rFonts w:ascii="Arial" w:hAnsi="Arial" w:cs="Arial"/>
          <w:sz w:val="20"/>
          <w:szCs w:val="20"/>
        </w:rPr>
        <w:t xml:space="preserve"> akt</w:t>
      </w:r>
      <w:r w:rsidRPr="005C158A">
        <w:rPr>
          <w:rFonts w:ascii="Arial" w:hAnsi="Arial" w:cs="Arial"/>
          <w:sz w:val="20"/>
          <w:szCs w:val="20"/>
        </w:rPr>
        <w:t xml:space="preserve"> I OSK 2521/13; wyrok WSA w Poznaniu z 11 marca 2019 r., sygn. </w:t>
      </w:r>
      <w:r w:rsidR="00376342" w:rsidRPr="005C158A">
        <w:rPr>
          <w:rFonts w:ascii="Arial" w:hAnsi="Arial" w:cs="Arial"/>
          <w:sz w:val="20"/>
          <w:szCs w:val="20"/>
        </w:rPr>
        <w:t xml:space="preserve">akt </w:t>
      </w:r>
      <w:r w:rsidRPr="005C158A">
        <w:rPr>
          <w:rFonts w:ascii="Arial" w:hAnsi="Arial" w:cs="Arial"/>
          <w:sz w:val="20"/>
          <w:szCs w:val="20"/>
        </w:rPr>
        <w:t xml:space="preserve">II SA/Po 36/19). Samo uchylenie decyzji nie załatwia sprawy administracyjnej w szczególności, że decyzja poddawana weryfikacji w trybie autokontroli jest decyzją nieostateczną co oznacza, że jej uchylenie wywołuje skutki prawne </w:t>
      </w:r>
      <w:r w:rsidR="00595C28" w:rsidRPr="005C158A">
        <w:rPr>
          <w:rFonts w:ascii="Arial" w:hAnsi="Arial" w:cs="Arial"/>
          <w:sz w:val="20"/>
          <w:szCs w:val="20"/>
        </w:rPr>
        <w:t>z</w:t>
      </w:r>
      <w:r w:rsidRPr="005C158A">
        <w:rPr>
          <w:rFonts w:ascii="Arial" w:hAnsi="Arial" w:cs="Arial"/>
          <w:sz w:val="20"/>
          <w:szCs w:val="20"/>
        </w:rPr>
        <w:t xml:space="preserve"> datą wstecz. </w:t>
      </w:r>
    </w:p>
    <w:p w14:paraId="2B7399D6" w14:textId="7F4AD94F" w:rsidR="00DD7EDC" w:rsidRPr="005C158A" w:rsidRDefault="00DD7EDC" w:rsidP="00401710">
      <w:pPr>
        <w:spacing w:before="120" w:after="120" w:line="360" w:lineRule="auto"/>
        <w:jc w:val="both"/>
        <w:rPr>
          <w:rFonts w:ascii="Arial" w:hAnsi="Arial" w:cs="Arial"/>
          <w:sz w:val="20"/>
          <w:szCs w:val="20"/>
        </w:rPr>
      </w:pPr>
      <w:r w:rsidRPr="005C158A">
        <w:rPr>
          <w:rFonts w:ascii="Arial" w:hAnsi="Arial" w:cs="Arial"/>
          <w:sz w:val="20"/>
          <w:szCs w:val="20"/>
        </w:rPr>
        <w:t>W związku z tym, w ramach autokontroli, organ administracji publicznej wydając nową decyzję, w której uchyla zaskarżoną decyzję powinien również orzec co do istoty sprawy albo uchylając decyzję - umorzyć postępowanie.</w:t>
      </w:r>
    </w:p>
    <w:p w14:paraId="18685F06" w14:textId="49073D63" w:rsidR="0060210D" w:rsidRPr="005C158A" w:rsidRDefault="0060210D"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Wydłużenie terminu na wydanie decyzji w trybie autokontroli</w:t>
      </w:r>
      <w:r w:rsidR="00A94E26" w:rsidRPr="005C158A">
        <w:rPr>
          <w:rFonts w:ascii="Arial" w:hAnsi="Arial" w:cs="Arial"/>
          <w:sz w:val="20"/>
          <w:szCs w:val="20"/>
        </w:rPr>
        <w:t>.</w:t>
      </w:r>
    </w:p>
    <w:p w14:paraId="7712166F" w14:textId="61F2BA82" w:rsidR="0060210D"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Zmiana brzmienia </w:t>
      </w:r>
      <w:r w:rsidRPr="005C158A">
        <w:rPr>
          <w:rFonts w:ascii="Arial" w:hAnsi="Arial" w:cs="Arial"/>
          <w:b/>
          <w:bCs/>
          <w:sz w:val="20"/>
          <w:szCs w:val="20"/>
        </w:rPr>
        <w:t xml:space="preserve">art. 133 </w:t>
      </w:r>
      <w:r w:rsidR="00376342" w:rsidRPr="005C158A">
        <w:rPr>
          <w:rFonts w:ascii="Arial" w:hAnsi="Arial" w:cs="Arial"/>
          <w:b/>
          <w:bCs/>
          <w:sz w:val="20"/>
          <w:szCs w:val="20"/>
        </w:rPr>
        <w:t>Kpa</w:t>
      </w:r>
      <w:r w:rsidRPr="005C158A">
        <w:rPr>
          <w:rFonts w:ascii="Arial" w:hAnsi="Arial" w:cs="Arial"/>
          <w:sz w:val="20"/>
          <w:szCs w:val="20"/>
        </w:rPr>
        <w:t xml:space="preserve"> ma na celu wydłużenie terminu na wydanie przez organ I instancji nowej decyzji w trybie autokontroli, o której mowa w art. 132 </w:t>
      </w:r>
      <w:r w:rsidR="00376342" w:rsidRPr="005C158A">
        <w:rPr>
          <w:rFonts w:ascii="Arial" w:hAnsi="Arial" w:cs="Arial"/>
          <w:sz w:val="20"/>
          <w:szCs w:val="20"/>
        </w:rPr>
        <w:t>Kpa</w:t>
      </w:r>
      <w:r w:rsidRPr="005C158A">
        <w:rPr>
          <w:rFonts w:ascii="Arial" w:hAnsi="Arial" w:cs="Arial"/>
          <w:sz w:val="20"/>
          <w:szCs w:val="20"/>
        </w:rPr>
        <w:t xml:space="preserve">, do 14 dni. </w:t>
      </w:r>
    </w:p>
    <w:p w14:paraId="0BF39571" w14:textId="246D85B2" w:rsidR="0060210D"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Obecnie na podstawie art. 133 </w:t>
      </w:r>
      <w:r w:rsidR="00376342" w:rsidRPr="005C158A">
        <w:rPr>
          <w:rFonts w:ascii="Arial" w:hAnsi="Arial" w:cs="Arial"/>
          <w:sz w:val="20"/>
          <w:szCs w:val="20"/>
        </w:rPr>
        <w:t xml:space="preserve">Kpa </w:t>
      </w:r>
      <w:r w:rsidRPr="005C158A">
        <w:rPr>
          <w:rFonts w:ascii="Arial" w:hAnsi="Arial" w:cs="Arial"/>
          <w:sz w:val="20"/>
          <w:szCs w:val="20"/>
        </w:rPr>
        <w:t xml:space="preserve">organ administracji publicznej będący organem I instancji ma obowiązek przekazać organowi II instancji odwołanie wraz z aktami sprawy w terminie 7 dni. Oznacza to, że organ I instancji na podstawie art. 132 </w:t>
      </w:r>
      <w:r w:rsidR="00376342" w:rsidRPr="005C158A">
        <w:rPr>
          <w:rFonts w:ascii="Arial" w:hAnsi="Arial" w:cs="Arial"/>
          <w:sz w:val="20"/>
          <w:szCs w:val="20"/>
        </w:rPr>
        <w:t xml:space="preserve">Kpa </w:t>
      </w:r>
      <w:r w:rsidRPr="005C158A">
        <w:rPr>
          <w:rFonts w:ascii="Arial" w:hAnsi="Arial" w:cs="Arial"/>
          <w:sz w:val="20"/>
          <w:szCs w:val="20"/>
        </w:rPr>
        <w:t>ma 7</w:t>
      </w:r>
      <w:r w:rsidR="00794071" w:rsidRPr="005C158A">
        <w:rPr>
          <w:rFonts w:ascii="Arial" w:hAnsi="Arial" w:cs="Arial"/>
          <w:sz w:val="20"/>
          <w:szCs w:val="20"/>
        </w:rPr>
        <w:t>-</w:t>
      </w:r>
      <w:r w:rsidRPr="005C158A">
        <w:rPr>
          <w:rFonts w:ascii="Arial" w:hAnsi="Arial" w:cs="Arial"/>
          <w:sz w:val="20"/>
          <w:szCs w:val="20"/>
        </w:rPr>
        <w:t xml:space="preserve">dniowy </w:t>
      </w:r>
      <w:r w:rsidR="00794071" w:rsidRPr="005C158A">
        <w:rPr>
          <w:rFonts w:ascii="Arial" w:hAnsi="Arial" w:cs="Arial"/>
          <w:sz w:val="20"/>
          <w:szCs w:val="20"/>
        </w:rPr>
        <w:t xml:space="preserve">termin </w:t>
      </w:r>
      <w:r w:rsidRPr="005C158A">
        <w:rPr>
          <w:rFonts w:ascii="Arial" w:hAnsi="Arial" w:cs="Arial"/>
          <w:sz w:val="20"/>
          <w:szCs w:val="20"/>
        </w:rPr>
        <w:t>na autokontrolę.</w:t>
      </w:r>
    </w:p>
    <w:p w14:paraId="4CE3B35D" w14:textId="3484B60F" w:rsidR="007C38D4" w:rsidRPr="005C158A" w:rsidRDefault="00A7558A"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Autokontrola decyzji w terminie 7 dni jest terminem zbyt krótkim na dokonanie ponownej analizy zebranego materiału dowodowego w związku z wniesionym odwołaniem od decyzji organu pierwszej instancji. </w:t>
      </w:r>
      <w:r w:rsidR="00C65316" w:rsidRPr="005C158A">
        <w:rPr>
          <w:rFonts w:ascii="Arial" w:hAnsi="Arial" w:cs="Arial"/>
          <w:sz w:val="20"/>
          <w:szCs w:val="20"/>
        </w:rPr>
        <w:t>Mogą występować przypadki, że organ pierwszej instancji,</w:t>
      </w:r>
      <w:r w:rsidR="00401710" w:rsidRPr="005C158A">
        <w:rPr>
          <w:rFonts w:ascii="Arial" w:hAnsi="Arial" w:cs="Arial"/>
          <w:sz w:val="20"/>
          <w:szCs w:val="20"/>
        </w:rPr>
        <w:t xml:space="preserve"> w</w:t>
      </w:r>
      <w:r w:rsidR="0060210D" w:rsidRPr="005C158A">
        <w:rPr>
          <w:rFonts w:ascii="Arial" w:hAnsi="Arial" w:cs="Arial"/>
          <w:sz w:val="20"/>
          <w:szCs w:val="20"/>
        </w:rPr>
        <w:t xml:space="preserve"> obawie o przekroczenie terminu </w:t>
      </w:r>
      <w:r w:rsidR="0060210D" w:rsidRPr="005C158A">
        <w:rPr>
          <w:rFonts w:ascii="Arial" w:hAnsi="Arial" w:cs="Arial"/>
          <w:sz w:val="20"/>
          <w:szCs w:val="20"/>
        </w:rPr>
        <w:lastRenderedPageBreak/>
        <w:t>zawitego</w:t>
      </w:r>
      <w:r w:rsidR="00794071" w:rsidRPr="005C158A">
        <w:rPr>
          <w:rFonts w:ascii="Arial" w:hAnsi="Arial" w:cs="Arial"/>
          <w:sz w:val="20"/>
          <w:szCs w:val="20"/>
        </w:rPr>
        <w:t xml:space="preserve"> </w:t>
      </w:r>
      <w:r w:rsidR="0060210D" w:rsidRPr="005C158A">
        <w:rPr>
          <w:rFonts w:ascii="Arial" w:hAnsi="Arial" w:cs="Arial"/>
          <w:sz w:val="20"/>
          <w:szCs w:val="20"/>
        </w:rPr>
        <w:t>przekazuje sprawę do instancji wyższego stopnia</w:t>
      </w:r>
      <w:r w:rsidR="00794071" w:rsidRPr="005C158A">
        <w:rPr>
          <w:rFonts w:ascii="Arial" w:hAnsi="Arial" w:cs="Arial"/>
          <w:sz w:val="20"/>
          <w:szCs w:val="20"/>
        </w:rPr>
        <w:t>,</w:t>
      </w:r>
      <w:r w:rsidR="0060210D" w:rsidRPr="005C158A">
        <w:rPr>
          <w:rFonts w:ascii="Arial" w:hAnsi="Arial" w:cs="Arial"/>
          <w:sz w:val="20"/>
          <w:szCs w:val="20"/>
        </w:rPr>
        <w:t xml:space="preserve"> </w:t>
      </w:r>
      <w:r w:rsidR="00C65316" w:rsidRPr="005C158A">
        <w:rPr>
          <w:rFonts w:ascii="Arial" w:hAnsi="Arial" w:cs="Arial"/>
          <w:sz w:val="20"/>
          <w:szCs w:val="20"/>
        </w:rPr>
        <w:t xml:space="preserve">bez dogłębnej analizy w trybie autokontroli, </w:t>
      </w:r>
      <w:r w:rsidR="0060210D" w:rsidRPr="005C158A">
        <w:rPr>
          <w:rFonts w:ascii="Arial" w:hAnsi="Arial" w:cs="Arial"/>
          <w:sz w:val="20"/>
          <w:szCs w:val="20"/>
        </w:rPr>
        <w:t xml:space="preserve">co wpływa na wydłużenie </w:t>
      </w:r>
      <w:r w:rsidR="00794071" w:rsidRPr="005C158A">
        <w:rPr>
          <w:rFonts w:ascii="Arial" w:hAnsi="Arial" w:cs="Arial"/>
          <w:sz w:val="20"/>
          <w:szCs w:val="20"/>
        </w:rPr>
        <w:t xml:space="preserve">całościowego </w:t>
      </w:r>
      <w:r w:rsidR="0060210D" w:rsidRPr="005C158A">
        <w:rPr>
          <w:rFonts w:ascii="Arial" w:hAnsi="Arial" w:cs="Arial"/>
          <w:sz w:val="20"/>
          <w:szCs w:val="20"/>
        </w:rPr>
        <w:t xml:space="preserve">postępowania. </w:t>
      </w:r>
    </w:p>
    <w:p w14:paraId="5D262C30" w14:textId="0ED40B3E" w:rsidR="007C38D4" w:rsidRPr="005C158A" w:rsidRDefault="007C38D4" w:rsidP="007C38D4">
      <w:pPr>
        <w:spacing w:before="120" w:after="120" w:line="360" w:lineRule="auto"/>
        <w:jc w:val="both"/>
        <w:rPr>
          <w:rFonts w:ascii="Arial" w:hAnsi="Arial" w:cs="Arial"/>
          <w:sz w:val="20"/>
          <w:szCs w:val="20"/>
        </w:rPr>
      </w:pPr>
      <w:r w:rsidRPr="005C158A">
        <w:rPr>
          <w:rFonts w:ascii="Arial" w:hAnsi="Arial" w:cs="Arial"/>
          <w:sz w:val="20"/>
          <w:szCs w:val="20"/>
        </w:rPr>
        <w:t xml:space="preserve">Należy podkreślić, że intencją tego przepisu jest skrócenie prowadzenia postępowania administracyjnego poprzez wydłużenie możliwości dokonania ponownej analizy sprawy - w ramach autokontroli - przez organ I instancji po wniesieniu przez stronę odwołania. Wydłużenie terminu do 14 dni na autokontrolę decyzji wydanej przez organ I instancji może spowodować, że po wniesieniu odwołania przez stronę, sprawa zakończy się już przed organem I instancji, gdy organ ten uzna, że odwołanie zasługuje na uwzględnienie w całości. Przepis ten spowoduje w takim przypadku, że strona nie będzie musiała oczekiwać na podjęcie rozstrzygnięcia przez organ II instancji, co znacznie wpłynie na skrócenie postępowania. </w:t>
      </w:r>
    </w:p>
    <w:p w14:paraId="1AB8BFEF" w14:textId="0626AE60" w:rsidR="0060210D"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tej sytuacji uzasadnione jest wydłużenie </w:t>
      </w:r>
      <w:r w:rsidR="00794071" w:rsidRPr="005C158A">
        <w:rPr>
          <w:rFonts w:ascii="Arial" w:hAnsi="Arial" w:cs="Arial"/>
          <w:sz w:val="20"/>
          <w:szCs w:val="20"/>
        </w:rPr>
        <w:t>wspomnianego</w:t>
      </w:r>
      <w:r w:rsidRPr="005C158A">
        <w:rPr>
          <w:rFonts w:ascii="Arial" w:hAnsi="Arial" w:cs="Arial"/>
          <w:sz w:val="20"/>
          <w:szCs w:val="20"/>
        </w:rPr>
        <w:t xml:space="preserve"> terminu do 14 dni.</w:t>
      </w:r>
    </w:p>
    <w:p w14:paraId="25E05E29" w14:textId="017ABCA6" w:rsidR="00A7558A" w:rsidRPr="005C158A" w:rsidRDefault="00A7558A" w:rsidP="00401710">
      <w:pPr>
        <w:spacing w:before="120" w:after="120" w:line="360" w:lineRule="auto"/>
        <w:jc w:val="both"/>
        <w:rPr>
          <w:rFonts w:ascii="Arial" w:hAnsi="Arial" w:cs="Arial"/>
          <w:sz w:val="20"/>
          <w:szCs w:val="20"/>
        </w:rPr>
      </w:pPr>
      <w:r w:rsidRPr="005C158A">
        <w:rPr>
          <w:rFonts w:ascii="Arial" w:hAnsi="Arial" w:cs="Arial"/>
          <w:sz w:val="20"/>
          <w:szCs w:val="20"/>
        </w:rPr>
        <w:t>Niezależnie od powyższego w przepisie wskazano, że co do zasady organ I instancji powinien przekazać akta sprawy niezwłocznie jednak nie później niż w terminie 14 dni.</w:t>
      </w:r>
    </w:p>
    <w:p w14:paraId="692F1850" w14:textId="427B1FDC" w:rsidR="00135FEE" w:rsidRPr="005C158A" w:rsidRDefault="00135FEE"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Związanie organu pierwszego stopnia wskazan</w:t>
      </w:r>
      <w:r w:rsidR="00617E2C" w:rsidRPr="005C158A">
        <w:rPr>
          <w:rFonts w:ascii="Arial" w:hAnsi="Arial" w:cs="Arial"/>
          <w:sz w:val="20"/>
          <w:szCs w:val="20"/>
        </w:rPr>
        <w:t xml:space="preserve">iami </w:t>
      </w:r>
      <w:r w:rsidRPr="005C158A">
        <w:rPr>
          <w:rFonts w:ascii="Arial" w:hAnsi="Arial" w:cs="Arial"/>
          <w:sz w:val="20"/>
          <w:szCs w:val="20"/>
        </w:rPr>
        <w:t>organu odwoławczego</w:t>
      </w:r>
      <w:r w:rsidR="00054582" w:rsidRPr="005C158A">
        <w:rPr>
          <w:rFonts w:ascii="Arial" w:hAnsi="Arial" w:cs="Arial"/>
          <w:sz w:val="20"/>
          <w:szCs w:val="20"/>
        </w:rPr>
        <w:t>.</w:t>
      </w:r>
    </w:p>
    <w:p w14:paraId="4EC4B2B7" w14:textId="483027A2" w:rsidR="00135FEE" w:rsidRPr="005C158A" w:rsidRDefault="00135FEE"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Pr="005C158A">
        <w:rPr>
          <w:rFonts w:ascii="Arial" w:hAnsi="Arial" w:cs="Arial"/>
          <w:b/>
          <w:bCs/>
          <w:sz w:val="20"/>
          <w:szCs w:val="20"/>
        </w:rPr>
        <w:t xml:space="preserve">art. 139a </w:t>
      </w:r>
      <w:r w:rsidR="00376342" w:rsidRPr="005C158A">
        <w:rPr>
          <w:rFonts w:ascii="Arial" w:hAnsi="Arial" w:cs="Arial"/>
          <w:b/>
          <w:bCs/>
          <w:sz w:val="20"/>
          <w:szCs w:val="20"/>
        </w:rPr>
        <w:t>Kpa</w:t>
      </w:r>
      <w:r w:rsidR="00376342" w:rsidRPr="005C158A">
        <w:rPr>
          <w:rFonts w:ascii="Arial" w:hAnsi="Arial" w:cs="Arial"/>
          <w:sz w:val="20"/>
          <w:szCs w:val="20"/>
        </w:rPr>
        <w:t xml:space="preserve"> </w:t>
      </w:r>
      <w:r w:rsidRPr="005C158A">
        <w:rPr>
          <w:rFonts w:ascii="Arial" w:hAnsi="Arial" w:cs="Arial"/>
          <w:sz w:val="20"/>
          <w:szCs w:val="20"/>
        </w:rPr>
        <w:t xml:space="preserve">wprowadza się instrument, który będzie prowadził do stanowczego obowiązku organu I instancji zastosowania się do treści decyzji organu odwoławczego. Notowane jest dzisiaj zjawisko niewykonywania wytycznych organu odwoławczego przez organ I instancji. </w:t>
      </w:r>
    </w:p>
    <w:p w14:paraId="6AD40676"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W przypadku wydania decyzji, o której mowa w art. 138 § 2 Kpa organ odwoławczy wskazuje:</w:t>
      </w:r>
    </w:p>
    <w:p w14:paraId="6308DC78" w14:textId="2B760B21" w:rsidR="00A7558A" w:rsidRPr="005C158A" w:rsidRDefault="00A7558A" w:rsidP="0011422D">
      <w:pPr>
        <w:pStyle w:val="Akapitzlist"/>
        <w:numPr>
          <w:ilvl w:val="0"/>
          <w:numId w:val="37"/>
        </w:numPr>
        <w:spacing w:before="120" w:after="120" w:line="360" w:lineRule="auto"/>
        <w:ind w:left="0" w:firstLine="0"/>
        <w:jc w:val="both"/>
        <w:rPr>
          <w:rFonts w:ascii="Arial" w:hAnsi="Arial" w:cs="Arial"/>
          <w:sz w:val="20"/>
          <w:szCs w:val="20"/>
        </w:rPr>
      </w:pPr>
      <w:r w:rsidRPr="005C158A">
        <w:rPr>
          <w:rFonts w:ascii="Arial" w:hAnsi="Arial" w:cs="Arial"/>
          <w:sz w:val="20"/>
          <w:szCs w:val="20"/>
        </w:rPr>
        <w:t>okoliczności, jakie organ pierwszej instancji obowiązany jest wziąć pod uwagę przy proponowanym rozpatrzeniu sprawy. Chodzi o okoliczności faktyczne, które mają znaczenie dla rozstrzygnięcia sprawy (§ 2);</w:t>
      </w:r>
    </w:p>
    <w:p w14:paraId="65FECE52" w14:textId="6313A669" w:rsidR="00A7558A" w:rsidRPr="005C158A" w:rsidRDefault="00A7558A" w:rsidP="0011422D">
      <w:pPr>
        <w:pStyle w:val="Akapitzlist"/>
        <w:numPr>
          <w:ilvl w:val="0"/>
          <w:numId w:val="37"/>
        </w:numPr>
        <w:spacing w:before="120" w:after="120" w:line="360" w:lineRule="auto"/>
        <w:ind w:left="0" w:firstLine="0"/>
        <w:jc w:val="both"/>
        <w:rPr>
          <w:rFonts w:ascii="Arial" w:hAnsi="Arial" w:cs="Arial"/>
          <w:sz w:val="20"/>
          <w:szCs w:val="20"/>
        </w:rPr>
      </w:pPr>
      <w:r w:rsidRPr="005C158A">
        <w:rPr>
          <w:rFonts w:ascii="Arial" w:hAnsi="Arial" w:cs="Arial"/>
          <w:sz w:val="20"/>
          <w:szCs w:val="20"/>
        </w:rPr>
        <w:t>wytyczne w zakresie wykładni przepisów prawa. Organ odwoławczy ma obowiązek, w razie przeprowadzenia przez organ pierwszej instancji błędnej wykładni przepisów prawa, które mają zastosowanie przy proponowanym rozpoznaniu i rozstrzygnięciu sprawy, w decyzji określenia wytycznych w zakresie wykładni tych przepisów (§ 2a).</w:t>
      </w:r>
    </w:p>
    <w:p w14:paraId="7B3DFAC0"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 xml:space="preserve">W praktyce zdarza się, że organ I instancji nie przeprowadził postępowania wyjaśniającego. Podjęcie decyzji przez organ I instancji bez prowadzenia postępowania wyjaśniającego, jeżeli nie było podstaw do zastosowania uproszczonego postępowania wyjaśniającego (art. 35 § 2 Kpa), nie może być sanowane w postępowaniu odwoławczym, ponieważ naruszałoby to zasadę dwuinstancyjności, której istota polega na dwukrotnym rozpoznaniu i rozstrzygnięciu sprawy. W takim przypadku organ odwoławczy ma tylko kompetencje kasacyjne. Do takiego rodzaju naruszenia przepisów postępowania należy zaliczyć brak lub kwalifikowaną wadliwość środków dowodowych, które nie dają podstaw do ustalenia stanu faktycznego sprawy. Jednocześnie zdarza się, że organ II instancji pomimo, że wskazuje jakie okoliczności faktyczne powinien wziąć pod uwagę organ I instancji przy ponownym rozpatrywaniu sprawy, to organ I instancji niekiedy uchyla się od podjęcia czynności, na które wskazywał organ II instancji. Nieustalenie istotnych okoliczności faktycznych ma zawsze istotny wpływ na wynik sprawy, co może prowadzić do uchylenia decyzji. Zatem przepis ten ma na celu zdyscyplinowanie organów I instancji do wykonywania zaleceń organu II instancji i tym samym nieprzedłużania </w:t>
      </w:r>
      <w:r w:rsidRPr="005C158A">
        <w:rPr>
          <w:rFonts w:ascii="Arial" w:hAnsi="Arial" w:cs="Arial"/>
          <w:sz w:val="20"/>
          <w:szCs w:val="20"/>
        </w:rPr>
        <w:lastRenderedPageBreak/>
        <w:t>postępowania administracyjnego. Przepis ten ma również na celu do zobligowania organu I instancji do analizy okoliczności wskazanych przez organ II instancji przy ponownym rozpatrywaniu sprawy.</w:t>
      </w:r>
    </w:p>
    <w:p w14:paraId="13C98539"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Te same sytuacje zdarzają się w odniesieniu do wytycznych organu odwoławczego w zakresie wykładni przepisów prawa.</w:t>
      </w:r>
    </w:p>
    <w:p w14:paraId="35089DB8"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Podkreślenia wymaga, że wprowadzenie tego instrumentu, mającego na celu zobowiązanie organu I instancji zastosowania się do treści decyzji organu odwoławczego, będzie dotyczyło wyłącznie przypadku, o którym mowa w art. 138 § 2 lub 2a Kpa.</w:t>
      </w:r>
    </w:p>
    <w:p w14:paraId="269776A9"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 xml:space="preserve">Przepis ten znajdzie zastosowanie, gdy organ II instancji już raz wydał decyzję o przekazaniu sprawy do ponownego rozpatrzenia przez organ I instancji, a ten nie wykonał zaleceń organu II instancji i w wyniku tego ponownie zostało wniesione odwołanie. </w:t>
      </w:r>
    </w:p>
    <w:p w14:paraId="1BAFEA91"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 xml:space="preserve">Zatem stwierdzenie uchybień w działaniu organu I instancji przy ponownym rozpatrywaniu sprawy, polegające na braku uwzględnienia przez ten organ okoliczności faktycznych lub wytycznych w zakresie wykładni przepisów prawa wskazanych przez organ odwoławczy, będzie następowało w ramach  prowadzonego postępowania odwoławczego, jeżeli strona skorzysta z prawa do wniesienia odwołania na decyzję organu I instancji wydaną po decyzji organu II instancji o przekazaniu sprawy do ponownego rozpatrzenia. </w:t>
      </w:r>
    </w:p>
    <w:p w14:paraId="46C686DB"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 xml:space="preserve">Jednocześnie należy mieć na uwadze, że zarządzenie przez organ odwoławczy ustalenia przyczyn i osób winnych naruszenia obowiązku wynikającego z art. 138 § 2 lub 2a Kpa będzie toczyło się obok (niezależnie od) prowadzonego postępowania odwoławczego – sprawa ta będzie wyjaśniana wyłącznie pomiędzy organem pierwszej i drugiej instancji. </w:t>
      </w:r>
    </w:p>
    <w:p w14:paraId="607B4410"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Zgodnie z art. 139a § 1 Kpa procedura określona w tym przepisie wystąpi tylko w przypadku „stwierdzenia nieuzasadnionego naruszenia” art. 138 § 2 i 2a Kpa. Należy wskazać, że „nieuzasadnione naruszenie”, wystąpi wtedy, gdy w decyzji organu pierwszej instancji nie zostały wskazane przyczyny odstąpienia od obowiązku polegającego na konieczności uwzględnienia:</w:t>
      </w:r>
    </w:p>
    <w:p w14:paraId="73EEFA78" w14:textId="5D06D9C3" w:rsidR="00A7558A" w:rsidRPr="005C158A" w:rsidRDefault="00A7558A" w:rsidP="0011422D">
      <w:pPr>
        <w:pStyle w:val="Akapitzlist"/>
        <w:numPr>
          <w:ilvl w:val="0"/>
          <w:numId w:val="37"/>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wskazanych przez organ odwoławczy okoliczności, które należy wziąć pod uwagę przy ponownym rozpatrzeniu sprawy, o których mowa w art. 138 § 2 zdanie drugie </w:t>
      </w:r>
      <w:r w:rsidR="007E23EC" w:rsidRPr="005C158A">
        <w:rPr>
          <w:rFonts w:ascii="Arial" w:hAnsi="Arial" w:cs="Arial"/>
          <w:sz w:val="20"/>
          <w:szCs w:val="20"/>
        </w:rPr>
        <w:t>Kpa</w:t>
      </w:r>
      <w:r w:rsidRPr="005C158A">
        <w:rPr>
          <w:rFonts w:ascii="Arial" w:hAnsi="Arial" w:cs="Arial"/>
          <w:sz w:val="20"/>
          <w:szCs w:val="20"/>
        </w:rPr>
        <w:t xml:space="preserve"> lub</w:t>
      </w:r>
    </w:p>
    <w:p w14:paraId="320BB393" w14:textId="4CF7B2FF" w:rsidR="00A7558A" w:rsidRPr="005C158A" w:rsidRDefault="00A7558A" w:rsidP="0011422D">
      <w:pPr>
        <w:pStyle w:val="Akapitzlist"/>
        <w:numPr>
          <w:ilvl w:val="0"/>
          <w:numId w:val="37"/>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określonych przez organ odwoławczy wytycznych w zakresie wykładni przepisów prawa, które mogą znaleźć zastosowanie w sprawie, o których mowa w art. 138 § 2a </w:t>
      </w:r>
      <w:r w:rsidR="007E23EC" w:rsidRPr="005C158A">
        <w:rPr>
          <w:rFonts w:ascii="Arial" w:hAnsi="Arial" w:cs="Arial"/>
          <w:sz w:val="20"/>
          <w:szCs w:val="20"/>
        </w:rPr>
        <w:t>Kpa</w:t>
      </w:r>
      <w:r w:rsidRPr="005C158A">
        <w:rPr>
          <w:rFonts w:ascii="Arial" w:hAnsi="Arial" w:cs="Arial"/>
          <w:sz w:val="20"/>
          <w:szCs w:val="20"/>
        </w:rPr>
        <w:t>.</w:t>
      </w:r>
    </w:p>
    <w:p w14:paraId="05F4CA20"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Zatem samo nieuwzględnienie przez organ I instancji wytycznych nie będzie powodować konsekwencji, o ile zostało wyjaśnione w decyzji. W związku z tym w przypadku nieuwzględniania przez organ I instancji wytycznych organu odwoławczego przy jednoczesnym wyjaśnieniu przez organ I instancji powodów ich nieuwzględnienia brak będzie podstaw do uruchomienia procedury przewidzianej w art. 139a Kpa.</w:t>
      </w:r>
    </w:p>
    <w:p w14:paraId="1AFAD830" w14:textId="409559E6" w:rsidR="00A7558A" w:rsidRPr="005C158A" w:rsidRDefault="00620714" w:rsidP="00A7558A">
      <w:pPr>
        <w:spacing w:before="120" w:after="120" w:line="360" w:lineRule="auto"/>
        <w:jc w:val="both"/>
        <w:rPr>
          <w:rFonts w:ascii="Arial" w:hAnsi="Arial" w:cs="Arial"/>
          <w:sz w:val="20"/>
          <w:szCs w:val="20"/>
        </w:rPr>
      </w:pPr>
      <w:r>
        <w:rPr>
          <w:rFonts w:ascii="Arial" w:hAnsi="Arial" w:cs="Arial"/>
          <w:sz w:val="20"/>
          <w:szCs w:val="20"/>
        </w:rPr>
        <w:t>A</w:t>
      </w:r>
      <w:r w:rsidR="00A7558A" w:rsidRPr="005C158A">
        <w:rPr>
          <w:rFonts w:ascii="Arial" w:hAnsi="Arial" w:cs="Arial"/>
          <w:sz w:val="20"/>
          <w:szCs w:val="20"/>
        </w:rPr>
        <w:t xml:space="preserve">rt. 139a § 1 Kpa </w:t>
      </w:r>
      <w:r>
        <w:rPr>
          <w:rFonts w:ascii="Arial" w:hAnsi="Arial" w:cs="Arial"/>
          <w:sz w:val="20"/>
          <w:szCs w:val="20"/>
        </w:rPr>
        <w:t>stanowi</w:t>
      </w:r>
      <w:r w:rsidR="00A7558A" w:rsidRPr="005C158A">
        <w:rPr>
          <w:rFonts w:ascii="Arial" w:hAnsi="Arial" w:cs="Arial"/>
          <w:sz w:val="20"/>
          <w:szCs w:val="20"/>
        </w:rPr>
        <w:t xml:space="preserve">, że organ odwoławczy „zarządza” wyjaśnienie przyczyn. W tym zakresie należy wskazać, że organ odwoławczy będzie zarządzał wyjaśnienie przez organ pierwszej instancji wskazanych w art. 139a § 1 </w:t>
      </w:r>
      <w:r w:rsidR="007E23EC" w:rsidRPr="005C158A">
        <w:rPr>
          <w:rFonts w:ascii="Arial" w:hAnsi="Arial" w:cs="Arial"/>
          <w:sz w:val="20"/>
          <w:szCs w:val="20"/>
        </w:rPr>
        <w:t>Kpa</w:t>
      </w:r>
      <w:r w:rsidR="00A7558A" w:rsidRPr="005C158A">
        <w:rPr>
          <w:rFonts w:ascii="Arial" w:hAnsi="Arial" w:cs="Arial"/>
          <w:sz w:val="20"/>
          <w:szCs w:val="20"/>
        </w:rPr>
        <w:t xml:space="preserve"> kwestii w ramach odrębnego postępowania, które będzie całkowicie niezależne od postępowania odwoławczego (tj. głównego) i nie będzie miało na nie wpływu. </w:t>
      </w:r>
    </w:p>
    <w:p w14:paraId="24446382" w14:textId="32A205E2"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Należy też wskazać, że „zarządzenie” wyjaśnienie przyczyn nie będzie wydawane ani w formie decyzji ani w formie postanowienia. Zarządzenie, o którym mowa w art. art. 139a </w:t>
      </w:r>
      <w:bookmarkStart w:id="14" w:name="_Hlk136953309"/>
      <w:r w:rsidRPr="005C158A">
        <w:rPr>
          <w:rFonts w:ascii="Arial" w:hAnsi="Arial" w:cs="Arial"/>
          <w:sz w:val="20"/>
          <w:szCs w:val="20"/>
        </w:rPr>
        <w:t xml:space="preserve">§ </w:t>
      </w:r>
      <w:bookmarkEnd w:id="14"/>
      <w:r w:rsidRPr="005C158A">
        <w:rPr>
          <w:rFonts w:ascii="Arial" w:hAnsi="Arial" w:cs="Arial"/>
          <w:sz w:val="20"/>
          <w:szCs w:val="20"/>
        </w:rPr>
        <w:t xml:space="preserve">1 Kpa, będzie miało formę zwykłego pisma skierowanego do organu pierwszej instancji. W tym zakresie należy wskazać, że strona nie będzie uczestnikiem „postępowania” zainicjowanego w związku z zarządzeniem wyjaśnienia kwestii wskazanych w art. art. 139a § 1 Kpa. Zatem wprowadzenie regulacji, w zakresie wydania zarządzenia w formie postanowienia czy decyzji nie ma uzasadnienia ponieważ nie będzie podmiotu upoważnionego do zaskarżenia takiego rozstrzygnięcia. Kwestie związane z wyjaśnieniem okoliczności, o których mowa w art. 139a § 1 </w:t>
      </w:r>
      <w:r w:rsidR="007E23EC" w:rsidRPr="005C158A">
        <w:rPr>
          <w:rFonts w:ascii="Arial" w:hAnsi="Arial" w:cs="Arial"/>
          <w:sz w:val="20"/>
          <w:szCs w:val="20"/>
        </w:rPr>
        <w:t>Kpa</w:t>
      </w:r>
      <w:r w:rsidRPr="005C158A">
        <w:rPr>
          <w:rFonts w:ascii="Arial" w:hAnsi="Arial" w:cs="Arial"/>
          <w:sz w:val="20"/>
          <w:szCs w:val="20"/>
        </w:rPr>
        <w:t>, będą należały wyłącznie do organu pierwszej instancji w związku z zarządzeniem organu odwoławczego a strona postepowania nie będzie uczestnikiem tego „postępowania”.</w:t>
      </w:r>
    </w:p>
    <w:p w14:paraId="6EAA434C"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Organem właściwym do wyjaśnienia przyczyn i ustalenia osób winnych naruszenia art. 138 § 2 lub 2a Kpa, będzie organ pierwszej instancji.</w:t>
      </w:r>
    </w:p>
    <w:p w14:paraId="14E4A8FB"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W art. 139 § 2 Kpa wskazane jest, że pracownik organu administracji publicznej podlega odpowiedzialności porządkowej lub dyscyplinarnej albo innej odpowiedzialności przewidzianej w przepisach prawa, jeżeli ze swojej winy doprowadził do naruszenia przez organ pierwszej instancji obowiązku, o którym mowa w § 1 i naraził ten organ na odpowiedzialność odszkodowawczą.</w:t>
      </w:r>
    </w:p>
    <w:p w14:paraId="23336E17" w14:textId="77777777"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W związku z tym, aby pracownik mógł zostać pociągnięty do takiej odpowiedzialności, będą musiały być spełnione łącznie wskazane w ww. przepisie przesłanki.</w:t>
      </w:r>
    </w:p>
    <w:p w14:paraId="07133815" w14:textId="029C69DA"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 xml:space="preserve">Należy też wskazać, że przepis art. 139a § 2 </w:t>
      </w:r>
      <w:r w:rsidR="007E23EC" w:rsidRPr="005C158A">
        <w:rPr>
          <w:rFonts w:ascii="Arial" w:hAnsi="Arial" w:cs="Arial"/>
          <w:sz w:val="20"/>
          <w:szCs w:val="20"/>
        </w:rPr>
        <w:t>Kpa</w:t>
      </w:r>
      <w:r w:rsidRPr="005C158A">
        <w:rPr>
          <w:rFonts w:ascii="Arial" w:hAnsi="Arial" w:cs="Arial"/>
          <w:sz w:val="20"/>
          <w:szCs w:val="20"/>
        </w:rPr>
        <w:t xml:space="preserve"> nie stanowi samodzielnej podstawy prawnej odpowiedzialności dyscyplinarnej, służbowej lub porządkowej. Pracownik podlega takiej odpowiedzialności na mocy przepisów odrębnych i dopiero, jeżeli one zawierają postanowienia, które pozwolą na pociągnięcie do odpowiedzialności np. z powodu przekroczenia terminów załatwienia sprawy, to może być wszczęte właściwe postępowanie. Najistotniejszymi aktami prawnymi regulującymi kwestię odpowiedzialności osobistej pracowników organów administracji publicznej są:</w:t>
      </w:r>
    </w:p>
    <w:p w14:paraId="075B3B4C" w14:textId="09BC0862" w:rsidR="00A7558A" w:rsidRPr="005C158A" w:rsidRDefault="00A7558A" w:rsidP="00DC6DF4">
      <w:pPr>
        <w:pStyle w:val="Akapitzlist"/>
        <w:numPr>
          <w:ilvl w:val="0"/>
          <w:numId w:val="26"/>
        </w:numPr>
        <w:spacing w:before="120" w:after="120" w:line="360" w:lineRule="auto"/>
        <w:jc w:val="both"/>
        <w:rPr>
          <w:rFonts w:ascii="Arial" w:hAnsi="Arial" w:cs="Arial"/>
          <w:sz w:val="20"/>
          <w:szCs w:val="20"/>
        </w:rPr>
      </w:pPr>
      <w:r w:rsidRPr="005C158A">
        <w:rPr>
          <w:rFonts w:ascii="Arial" w:hAnsi="Arial" w:cs="Arial"/>
          <w:sz w:val="20"/>
          <w:szCs w:val="20"/>
        </w:rPr>
        <w:t>ustawa z 16</w:t>
      </w:r>
      <w:r w:rsidR="009A1EDE" w:rsidRPr="005C158A">
        <w:rPr>
          <w:rFonts w:ascii="Arial" w:hAnsi="Arial" w:cs="Arial"/>
          <w:sz w:val="20"/>
          <w:szCs w:val="20"/>
        </w:rPr>
        <w:t xml:space="preserve"> września </w:t>
      </w:r>
      <w:r w:rsidRPr="005C158A">
        <w:rPr>
          <w:rFonts w:ascii="Arial" w:hAnsi="Arial" w:cs="Arial"/>
          <w:sz w:val="20"/>
          <w:szCs w:val="20"/>
        </w:rPr>
        <w:t>1982 r. o pracownikach urzędów państwowych;</w:t>
      </w:r>
    </w:p>
    <w:p w14:paraId="51FE98E4" w14:textId="328624A1" w:rsidR="00A7558A" w:rsidRPr="005C158A" w:rsidRDefault="00A7558A" w:rsidP="00DC6DF4">
      <w:pPr>
        <w:pStyle w:val="Akapitzlist"/>
        <w:numPr>
          <w:ilvl w:val="0"/>
          <w:numId w:val="26"/>
        </w:numPr>
        <w:spacing w:before="120" w:after="120" w:line="360" w:lineRule="auto"/>
        <w:jc w:val="both"/>
        <w:rPr>
          <w:rFonts w:ascii="Arial" w:hAnsi="Arial" w:cs="Arial"/>
          <w:sz w:val="20"/>
          <w:szCs w:val="20"/>
        </w:rPr>
      </w:pPr>
      <w:r w:rsidRPr="005C158A">
        <w:rPr>
          <w:rFonts w:ascii="Arial" w:hAnsi="Arial" w:cs="Arial"/>
          <w:sz w:val="20"/>
          <w:szCs w:val="20"/>
        </w:rPr>
        <w:t>ustawa z 21</w:t>
      </w:r>
      <w:r w:rsidR="009A1EDE" w:rsidRPr="005C158A">
        <w:rPr>
          <w:rFonts w:ascii="Arial" w:hAnsi="Arial" w:cs="Arial"/>
          <w:sz w:val="20"/>
          <w:szCs w:val="20"/>
        </w:rPr>
        <w:t xml:space="preserve"> listopada </w:t>
      </w:r>
      <w:r w:rsidRPr="005C158A">
        <w:rPr>
          <w:rFonts w:ascii="Arial" w:hAnsi="Arial" w:cs="Arial"/>
          <w:sz w:val="20"/>
          <w:szCs w:val="20"/>
        </w:rPr>
        <w:t>2008 r. o służbie cywilnej;</w:t>
      </w:r>
    </w:p>
    <w:p w14:paraId="2F3C4B34" w14:textId="20E14E13" w:rsidR="00A7558A" w:rsidRPr="005C158A" w:rsidRDefault="00A7558A" w:rsidP="00DC6DF4">
      <w:pPr>
        <w:pStyle w:val="Akapitzlist"/>
        <w:numPr>
          <w:ilvl w:val="0"/>
          <w:numId w:val="26"/>
        </w:numPr>
        <w:spacing w:before="120" w:after="120" w:line="360" w:lineRule="auto"/>
        <w:jc w:val="both"/>
        <w:rPr>
          <w:rFonts w:ascii="Arial" w:hAnsi="Arial" w:cs="Arial"/>
          <w:sz w:val="20"/>
          <w:szCs w:val="20"/>
        </w:rPr>
      </w:pPr>
      <w:r w:rsidRPr="005C158A">
        <w:rPr>
          <w:rFonts w:ascii="Arial" w:hAnsi="Arial" w:cs="Arial"/>
          <w:sz w:val="20"/>
          <w:szCs w:val="20"/>
        </w:rPr>
        <w:t>ustawa z 20</w:t>
      </w:r>
      <w:r w:rsidR="009A1EDE" w:rsidRPr="005C158A">
        <w:rPr>
          <w:rFonts w:ascii="Arial" w:hAnsi="Arial" w:cs="Arial"/>
          <w:sz w:val="20"/>
          <w:szCs w:val="20"/>
        </w:rPr>
        <w:t xml:space="preserve"> stycznia </w:t>
      </w:r>
      <w:r w:rsidRPr="005C158A">
        <w:rPr>
          <w:rFonts w:ascii="Arial" w:hAnsi="Arial" w:cs="Arial"/>
          <w:sz w:val="20"/>
          <w:szCs w:val="20"/>
        </w:rPr>
        <w:t>2011 r. o odpowiedzialności majątkowej funkcjonariuszy publicznych za rażące naruszenie prawa.</w:t>
      </w:r>
    </w:p>
    <w:p w14:paraId="3897F163" w14:textId="371DE4B4" w:rsidR="00A7558A" w:rsidRPr="005C158A" w:rsidRDefault="00A7558A" w:rsidP="00A7558A">
      <w:pPr>
        <w:spacing w:before="120" w:after="120" w:line="360" w:lineRule="auto"/>
        <w:jc w:val="both"/>
        <w:rPr>
          <w:rFonts w:ascii="Arial" w:hAnsi="Arial" w:cs="Arial"/>
          <w:sz w:val="20"/>
          <w:szCs w:val="20"/>
        </w:rPr>
      </w:pPr>
      <w:r w:rsidRPr="005C158A">
        <w:rPr>
          <w:rFonts w:ascii="Arial" w:hAnsi="Arial" w:cs="Arial"/>
          <w:sz w:val="20"/>
          <w:szCs w:val="20"/>
        </w:rPr>
        <w:t>W związku z tym procedura uregulowana jest w odrębnych przepisach i nie podlega uregulowaniu w Kpa. Zatem odpowiedzialność dyscyplinarna, porządkowa albo inna przewidziana w przepisach prawa wystąpi wyłącznie wtedy, gdy zajdą przesłanki do jej zastosowania przewidziane w przepisach szczególnych.</w:t>
      </w:r>
    </w:p>
    <w:p w14:paraId="0FC08DEB" w14:textId="77777777" w:rsidR="00791A0A" w:rsidRPr="005C158A" w:rsidRDefault="00791A0A"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Zmiany w zakresie definicji zaległej administracyjnej kary pieniężnej.</w:t>
      </w:r>
    </w:p>
    <w:p w14:paraId="69113A9F" w14:textId="77777777" w:rsidR="00791A0A" w:rsidRPr="005C158A" w:rsidRDefault="00791A0A" w:rsidP="00791A0A">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Pr="005C158A">
        <w:rPr>
          <w:rFonts w:ascii="Arial" w:hAnsi="Arial" w:cs="Arial"/>
          <w:b/>
          <w:bCs/>
          <w:sz w:val="20"/>
          <w:szCs w:val="20"/>
        </w:rPr>
        <w:t xml:space="preserve">art. 189i § 1 Kpa </w:t>
      </w:r>
      <w:r w:rsidRPr="005C158A">
        <w:rPr>
          <w:rFonts w:ascii="Arial" w:hAnsi="Arial" w:cs="Arial"/>
          <w:sz w:val="20"/>
          <w:szCs w:val="20"/>
        </w:rPr>
        <w:t xml:space="preserve">wskazano, że zaległą administracyjną karą pieniężna jest kara niezapłacona w terminie 14 dni od dnia, w którym decyzja o jej nałożeniu stała się ostateczna, chyba że przepisy szczególne wskazują inny termin jej zapłaty. </w:t>
      </w:r>
    </w:p>
    <w:p w14:paraId="5502E630" w14:textId="77777777" w:rsidR="00791A0A" w:rsidRPr="005C158A" w:rsidRDefault="00791A0A" w:rsidP="00791A0A">
      <w:pPr>
        <w:spacing w:before="120" w:after="120" w:line="360" w:lineRule="auto"/>
        <w:jc w:val="both"/>
        <w:rPr>
          <w:rFonts w:ascii="Arial" w:hAnsi="Arial" w:cs="Arial"/>
          <w:sz w:val="20"/>
          <w:szCs w:val="20"/>
        </w:rPr>
      </w:pPr>
      <w:r w:rsidRPr="005C158A">
        <w:rPr>
          <w:rFonts w:ascii="Arial" w:hAnsi="Arial" w:cs="Arial"/>
          <w:sz w:val="20"/>
          <w:szCs w:val="20"/>
        </w:rPr>
        <w:t>Obecnie przepis ten nie zawiera określenia terminu do którego administracyjna kara pieniężna może zostać uregulowana.</w:t>
      </w:r>
    </w:p>
    <w:p w14:paraId="6B45A603" w14:textId="77777777" w:rsidR="00791A0A" w:rsidRPr="005C158A" w:rsidRDefault="00791A0A" w:rsidP="00791A0A">
      <w:pPr>
        <w:spacing w:before="120" w:after="120" w:line="360" w:lineRule="auto"/>
        <w:jc w:val="both"/>
        <w:rPr>
          <w:rFonts w:ascii="Arial" w:hAnsi="Arial" w:cs="Arial"/>
          <w:sz w:val="20"/>
          <w:szCs w:val="20"/>
        </w:rPr>
      </w:pPr>
      <w:r w:rsidRPr="005C158A">
        <w:rPr>
          <w:rFonts w:ascii="Arial" w:hAnsi="Arial" w:cs="Arial"/>
          <w:sz w:val="20"/>
          <w:szCs w:val="20"/>
        </w:rPr>
        <w:lastRenderedPageBreak/>
        <w:t>W związku z tym, w przypadku gdy przepisy szczególne stanowiące podstawę nałożenia kary pieniężnej nie określają terminu jej zapłaty, organy administracji publicznej muszą ustalać termin jej zapłaty w drodze wykładni przepisów Kpa. Zgodnie z art. 130 § 1 Kpa przed upływem terminu do wniesienia odwołania decyzja nie ulega wykonaniu. Tym samym należy przyjąć, że kara pieniężna powinna być zapłacona z chwilą, gdy decyzja o jej nałożeniu stała się ostateczna. Decyzja nabywa przymiot ostateczności po upływie terminu do wniesienia odwołania lub w chwili wydania decyzji przez organ odwoławczy. Niemniej jednak zgodnie z art. 110 § 1 Kpa organ administracji publicznej, który wydał decyzję, jest nią związany od chwili jej doręczenia lub ogłoszenia, o ile kodeks nie stanowi inaczej.  W orzecznictwie sądów administracyjnych przyjmuje się, że decyzja administracyjna zaczyna funkcjonować w obrocie prawnym od momentu jej skutecznego doręczenia. Brak jednoznacznego uregulowania w przepisach Kpa terminu zapłaty kary pieniężnej powoduje wątpliwości po stronie organów odnośnie chwili, w której ukarany podmiot ma zapłacić karę, a w konsekwencji określenia daty w której kara pieniężna staje się zaległą karą pieniężną skutkującą koniecznością naliczenia odsetek. Ponadto nakładane przez organy administracji publicznej kary pieniężne mogą stanowić istotne obciążenie finansowe dla ukaranego podmiotu. Przyjęcie, że karę pieniężną uiszcza się w terminie 14 dni od dnia w którym decyzja o jej nałożeniu stała się ostateczna, pozwoli na zgromadzenie odpowiednich środków na dokonanie zapłaty kary pieniężnej. Ponadto jednoznacznie określenie terminu uiszczenia kary pieniężnej wyeliminuje wątpliwości w tym zakresie po stronie organów odpowiedzialnych za ich nakładanie i egzekucję.</w:t>
      </w:r>
    </w:p>
    <w:p w14:paraId="0F9A7E67" w14:textId="2B174D2D" w:rsidR="002525DF" w:rsidRPr="005C158A" w:rsidRDefault="00D62721"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Zmiany w zakresie wykonania </w:t>
      </w:r>
      <w:r w:rsidR="00791A0A" w:rsidRPr="005C158A">
        <w:rPr>
          <w:rFonts w:ascii="Arial" w:hAnsi="Arial" w:cs="Arial"/>
          <w:sz w:val="20"/>
          <w:szCs w:val="20"/>
        </w:rPr>
        <w:t xml:space="preserve">kar administracyjnych oraz </w:t>
      </w:r>
      <w:r w:rsidRPr="005C158A">
        <w:rPr>
          <w:rFonts w:ascii="Arial" w:hAnsi="Arial" w:cs="Arial"/>
          <w:sz w:val="20"/>
          <w:szCs w:val="20"/>
        </w:rPr>
        <w:t>zaległych kar administracyjnych</w:t>
      </w:r>
      <w:r w:rsidR="003E381B" w:rsidRPr="005C158A">
        <w:rPr>
          <w:rFonts w:ascii="Arial" w:hAnsi="Arial" w:cs="Arial"/>
          <w:sz w:val="20"/>
          <w:szCs w:val="20"/>
        </w:rPr>
        <w:t>.</w:t>
      </w:r>
    </w:p>
    <w:p w14:paraId="1E931836" w14:textId="4CE3A311" w:rsidR="002525DF" w:rsidRPr="005C158A" w:rsidRDefault="002525DF" w:rsidP="00401710">
      <w:pPr>
        <w:spacing w:before="120" w:after="120" w:line="360" w:lineRule="auto"/>
        <w:jc w:val="both"/>
        <w:rPr>
          <w:rFonts w:ascii="Arial" w:hAnsi="Arial" w:cs="Arial"/>
          <w:sz w:val="20"/>
          <w:szCs w:val="20"/>
        </w:rPr>
      </w:pPr>
      <w:r w:rsidRPr="005C158A">
        <w:rPr>
          <w:rFonts w:ascii="Arial" w:hAnsi="Arial" w:cs="Arial"/>
          <w:sz w:val="20"/>
          <w:szCs w:val="20"/>
        </w:rPr>
        <w:t>Zgodnie z obowiązującym art. 189k § 1 pkt 2 Kpa organ administracji publicznej może odroczyć termin wykonania zaległej administracyjnej kary pieniężnej lub rozłożyć ją na raty.</w:t>
      </w:r>
      <w:r w:rsidR="00D62721" w:rsidRPr="005C158A">
        <w:rPr>
          <w:rFonts w:ascii="Arial" w:hAnsi="Arial" w:cs="Arial"/>
          <w:sz w:val="20"/>
          <w:szCs w:val="20"/>
        </w:rPr>
        <w:t xml:space="preserve"> </w:t>
      </w:r>
      <w:r w:rsidRPr="005C158A">
        <w:rPr>
          <w:rFonts w:ascii="Arial" w:hAnsi="Arial" w:cs="Arial"/>
          <w:sz w:val="20"/>
          <w:szCs w:val="20"/>
        </w:rPr>
        <w:t>Jednocześnie przepis ten nie przewiduje możliwości zastosowania ww. ulg do odsetek za zwłokę.</w:t>
      </w:r>
    </w:p>
    <w:p w14:paraId="0C1494DB" w14:textId="1D78E7DD" w:rsidR="002525DF" w:rsidRPr="005C158A" w:rsidRDefault="00791A0A" w:rsidP="00401710">
      <w:pPr>
        <w:spacing w:before="120" w:after="120" w:line="360" w:lineRule="auto"/>
        <w:jc w:val="both"/>
        <w:rPr>
          <w:rFonts w:ascii="Arial" w:hAnsi="Arial" w:cs="Arial"/>
          <w:sz w:val="20"/>
          <w:szCs w:val="20"/>
        </w:rPr>
      </w:pPr>
      <w:r w:rsidRPr="005C158A">
        <w:rPr>
          <w:rFonts w:ascii="Arial" w:hAnsi="Arial" w:cs="Arial"/>
          <w:sz w:val="20"/>
          <w:szCs w:val="20"/>
        </w:rPr>
        <w:t>Dlatego z</w:t>
      </w:r>
      <w:r w:rsidR="002525DF" w:rsidRPr="005C158A">
        <w:rPr>
          <w:rFonts w:ascii="Arial" w:hAnsi="Arial" w:cs="Arial"/>
          <w:sz w:val="20"/>
          <w:szCs w:val="20"/>
        </w:rPr>
        <w:t xml:space="preserve">asadnym </w:t>
      </w:r>
      <w:r w:rsidRPr="005C158A">
        <w:rPr>
          <w:rFonts w:ascii="Arial" w:hAnsi="Arial" w:cs="Arial"/>
          <w:sz w:val="20"/>
          <w:szCs w:val="20"/>
        </w:rPr>
        <w:t xml:space="preserve">jest </w:t>
      </w:r>
      <w:r w:rsidR="002525DF" w:rsidRPr="005C158A">
        <w:rPr>
          <w:rFonts w:ascii="Arial" w:hAnsi="Arial" w:cs="Arial"/>
          <w:sz w:val="20"/>
          <w:szCs w:val="20"/>
        </w:rPr>
        <w:t xml:space="preserve"> dokonanie zmian </w:t>
      </w:r>
      <w:r w:rsidR="002525DF" w:rsidRPr="005C158A">
        <w:rPr>
          <w:rFonts w:ascii="Arial" w:hAnsi="Arial" w:cs="Arial"/>
          <w:b/>
          <w:bCs/>
          <w:sz w:val="20"/>
          <w:szCs w:val="20"/>
        </w:rPr>
        <w:t>w art. 189k § 1 pkt 2</w:t>
      </w:r>
      <w:r w:rsidR="002525DF" w:rsidRPr="005C158A">
        <w:rPr>
          <w:rFonts w:ascii="Arial" w:hAnsi="Arial" w:cs="Arial"/>
          <w:sz w:val="20"/>
          <w:szCs w:val="20"/>
        </w:rPr>
        <w:t xml:space="preserve"> </w:t>
      </w:r>
      <w:r w:rsidR="002525DF" w:rsidRPr="005C158A">
        <w:rPr>
          <w:rFonts w:ascii="Arial" w:hAnsi="Arial" w:cs="Arial"/>
          <w:b/>
          <w:bCs/>
          <w:sz w:val="20"/>
          <w:szCs w:val="20"/>
        </w:rPr>
        <w:t>K</w:t>
      </w:r>
      <w:r w:rsidR="00D62721" w:rsidRPr="005C158A">
        <w:rPr>
          <w:rFonts w:ascii="Arial" w:hAnsi="Arial" w:cs="Arial"/>
          <w:b/>
          <w:bCs/>
          <w:sz w:val="20"/>
          <w:szCs w:val="20"/>
        </w:rPr>
        <w:t>pa</w:t>
      </w:r>
      <w:r w:rsidR="002525DF" w:rsidRPr="005C158A">
        <w:rPr>
          <w:rFonts w:ascii="Arial" w:hAnsi="Arial" w:cs="Arial"/>
          <w:sz w:val="20"/>
          <w:szCs w:val="20"/>
        </w:rPr>
        <w:t xml:space="preserve">, poprzez dodanie w tym przepisie </w:t>
      </w:r>
      <w:r w:rsidR="008C7A7C" w:rsidRPr="005C158A">
        <w:rPr>
          <w:rFonts w:ascii="Arial" w:hAnsi="Arial" w:cs="Arial"/>
          <w:sz w:val="20"/>
          <w:szCs w:val="20"/>
        </w:rPr>
        <w:t>wyrazów</w:t>
      </w:r>
      <w:r w:rsidR="002525DF" w:rsidRPr="005C158A">
        <w:rPr>
          <w:rFonts w:ascii="Arial" w:hAnsi="Arial" w:cs="Arial"/>
          <w:sz w:val="20"/>
          <w:szCs w:val="20"/>
        </w:rPr>
        <w:t xml:space="preserve"> „wraz z odsetkami za zwłokę”, analogicznie jak ma to miejsce w art. 67a § 1 pkt 2</w:t>
      </w:r>
      <w:r w:rsidR="004B60EF" w:rsidRPr="005C158A">
        <w:rPr>
          <w:rFonts w:ascii="Arial" w:hAnsi="Arial" w:cs="Arial"/>
          <w:sz w:val="20"/>
          <w:szCs w:val="20"/>
        </w:rPr>
        <w:t xml:space="preserve"> </w:t>
      </w:r>
      <w:proofErr w:type="spellStart"/>
      <w:r w:rsidR="00DF020A" w:rsidRPr="005C158A">
        <w:rPr>
          <w:rFonts w:ascii="Arial" w:hAnsi="Arial" w:cs="Arial"/>
          <w:sz w:val="20"/>
          <w:szCs w:val="20"/>
        </w:rPr>
        <w:t>Op</w:t>
      </w:r>
      <w:proofErr w:type="spellEnd"/>
      <w:r w:rsidR="002525DF" w:rsidRPr="005C158A">
        <w:rPr>
          <w:rFonts w:ascii="Arial" w:hAnsi="Arial" w:cs="Arial"/>
          <w:sz w:val="20"/>
          <w:szCs w:val="20"/>
        </w:rPr>
        <w:t xml:space="preserve">, na którym regulacja, dotycząca ulg w spłacie administracyjnych kar pieniężnych, była wzorowana. Zgodnie z art. 67a § 1 pkt 2 </w:t>
      </w:r>
      <w:proofErr w:type="spellStart"/>
      <w:r w:rsidR="00DF020A" w:rsidRPr="005C158A">
        <w:rPr>
          <w:rFonts w:ascii="Arial" w:hAnsi="Arial" w:cs="Arial"/>
          <w:sz w:val="20"/>
          <w:szCs w:val="20"/>
        </w:rPr>
        <w:t>Op</w:t>
      </w:r>
      <w:proofErr w:type="spellEnd"/>
      <w:r w:rsidR="002525DF" w:rsidRPr="005C158A">
        <w:rPr>
          <w:rFonts w:ascii="Arial" w:hAnsi="Arial" w:cs="Arial"/>
          <w:sz w:val="20"/>
          <w:szCs w:val="20"/>
        </w:rPr>
        <w:t xml:space="preserve"> organ podatkowy może odroczyć lub rozłożyć na raty zapłatę zaległości podatkowej wraz z odsetkami za zwłokę lub odsetki od nieuregulowanych w terminie zaliczek na podatek.</w:t>
      </w:r>
    </w:p>
    <w:p w14:paraId="0C9F42BE" w14:textId="4263CA66" w:rsidR="002525DF" w:rsidRPr="005C158A" w:rsidRDefault="002525DF" w:rsidP="00401710">
      <w:pPr>
        <w:spacing w:before="120" w:after="120" w:line="360" w:lineRule="auto"/>
        <w:jc w:val="both"/>
        <w:rPr>
          <w:rFonts w:ascii="Arial" w:hAnsi="Arial" w:cs="Arial"/>
          <w:sz w:val="20"/>
          <w:szCs w:val="20"/>
        </w:rPr>
      </w:pPr>
      <w:r w:rsidRPr="005C158A">
        <w:rPr>
          <w:rFonts w:ascii="Arial" w:hAnsi="Arial" w:cs="Arial"/>
          <w:sz w:val="20"/>
          <w:szCs w:val="20"/>
        </w:rPr>
        <w:t>Pominięcie w art. 189k § 1 pkt 2 K</w:t>
      </w:r>
      <w:r w:rsidR="00DF020A" w:rsidRPr="005C158A">
        <w:rPr>
          <w:rFonts w:ascii="Arial" w:hAnsi="Arial" w:cs="Arial"/>
          <w:sz w:val="20"/>
          <w:szCs w:val="20"/>
        </w:rPr>
        <w:t>pa</w:t>
      </w:r>
      <w:r w:rsidRPr="005C158A">
        <w:rPr>
          <w:rFonts w:ascii="Arial" w:hAnsi="Arial" w:cs="Arial"/>
          <w:sz w:val="20"/>
          <w:szCs w:val="20"/>
        </w:rPr>
        <w:t xml:space="preserve"> odsetek za zwłokę nie ma żadnego uzasadnienia i stwarza problemy przy udzielaniu ulg w spłacie zaległych administracyjnych kar pieniężnych. W obecnym stanie prawnym zapłata odsetek za zwłokę nie może być bowiem odroczona lub rozłożona na raty, a jedyną ulgą</w:t>
      </w:r>
      <w:r w:rsidR="005E5E5C" w:rsidRPr="005C158A">
        <w:rPr>
          <w:rFonts w:ascii="Arial" w:hAnsi="Arial" w:cs="Arial"/>
          <w:sz w:val="20"/>
          <w:szCs w:val="20"/>
        </w:rPr>
        <w:t>,</w:t>
      </w:r>
      <w:r w:rsidRPr="005C158A">
        <w:rPr>
          <w:rFonts w:ascii="Arial" w:hAnsi="Arial" w:cs="Arial"/>
          <w:sz w:val="20"/>
          <w:szCs w:val="20"/>
        </w:rPr>
        <w:t xml:space="preserve"> jaką można w stosunku do nich zastosować</w:t>
      </w:r>
      <w:r w:rsidR="005E5E5C" w:rsidRPr="005C158A">
        <w:rPr>
          <w:rFonts w:ascii="Arial" w:hAnsi="Arial" w:cs="Arial"/>
          <w:sz w:val="20"/>
          <w:szCs w:val="20"/>
        </w:rPr>
        <w:t>,</w:t>
      </w:r>
      <w:r w:rsidRPr="005C158A">
        <w:rPr>
          <w:rFonts w:ascii="Arial" w:hAnsi="Arial" w:cs="Arial"/>
          <w:sz w:val="20"/>
          <w:szCs w:val="20"/>
        </w:rPr>
        <w:t xml:space="preserve"> jest umorzenie. W związku z tym zasadne jest ujednolicenie katalogu ulg, które mogą być zastosowane wobec zaległej administracyjnej kary pieniężnej oraz naliczonych od niej odsetek za zwłokę.</w:t>
      </w:r>
      <w:r w:rsidR="00791A0A" w:rsidRPr="005C158A">
        <w:rPr>
          <w:rFonts w:ascii="Arial" w:hAnsi="Arial" w:cs="Arial"/>
          <w:sz w:val="20"/>
          <w:szCs w:val="20"/>
        </w:rPr>
        <w:t xml:space="preserve"> Dlatego konieczne jest dodanie </w:t>
      </w:r>
      <w:r w:rsidR="00791A0A" w:rsidRPr="005C158A">
        <w:rPr>
          <w:rFonts w:ascii="Arial" w:hAnsi="Arial" w:cs="Arial"/>
          <w:b/>
          <w:bCs/>
          <w:sz w:val="20"/>
          <w:szCs w:val="20"/>
        </w:rPr>
        <w:t>art. 189k § 2a Kpa</w:t>
      </w:r>
      <w:r w:rsidR="00791A0A" w:rsidRPr="005C158A">
        <w:rPr>
          <w:rFonts w:ascii="Arial" w:hAnsi="Arial" w:cs="Arial"/>
          <w:sz w:val="20"/>
          <w:szCs w:val="20"/>
        </w:rPr>
        <w:t>.</w:t>
      </w:r>
    </w:p>
    <w:p w14:paraId="410E116C" w14:textId="342A7E05" w:rsidR="002525DF" w:rsidRPr="005C158A" w:rsidRDefault="002525DF" w:rsidP="00401710">
      <w:pPr>
        <w:spacing w:before="120" w:after="120" w:line="360" w:lineRule="auto"/>
        <w:jc w:val="both"/>
        <w:rPr>
          <w:rFonts w:ascii="Arial" w:hAnsi="Arial" w:cs="Arial"/>
          <w:sz w:val="20"/>
          <w:szCs w:val="20"/>
        </w:rPr>
      </w:pPr>
      <w:r w:rsidRPr="005C158A">
        <w:rPr>
          <w:rFonts w:ascii="Arial" w:hAnsi="Arial" w:cs="Arial"/>
          <w:sz w:val="20"/>
          <w:szCs w:val="20"/>
        </w:rPr>
        <w:t>Dodatkowo</w:t>
      </w:r>
      <w:r w:rsidR="00616C5E" w:rsidRPr="005C158A">
        <w:rPr>
          <w:rFonts w:ascii="Arial" w:hAnsi="Arial" w:cs="Arial"/>
          <w:sz w:val="20"/>
          <w:szCs w:val="20"/>
        </w:rPr>
        <w:t>,</w:t>
      </w:r>
      <w:r w:rsidRPr="005C158A">
        <w:rPr>
          <w:rFonts w:ascii="Arial" w:hAnsi="Arial" w:cs="Arial"/>
          <w:sz w:val="20"/>
          <w:szCs w:val="20"/>
        </w:rPr>
        <w:t xml:space="preserve"> </w:t>
      </w:r>
      <w:bookmarkStart w:id="15" w:name="_Hlk118298330"/>
      <w:r w:rsidRPr="005C158A">
        <w:rPr>
          <w:rFonts w:ascii="Arial" w:hAnsi="Arial" w:cs="Arial"/>
          <w:sz w:val="20"/>
          <w:szCs w:val="20"/>
        </w:rPr>
        <w:t>w związku ze zmianą art. 189k § 1 pkt 2 K</w:t>
      </w:r>
      <w:r w:rsidR="00DF020A" w:rsidRPr="005C158A">
        <w:rPr>
          <w:rFonts w:ascii="Arial" w:hAnsi="Arial" w:cs="Arial"/>
          <w:sz w:val="20"/>
          <w:szCs w:val="20"/>
        </w:rPr>
        <w:t>pa</w:t>
      </w:r>
      <w:r w:rsidR="00616C5E" w:rsidRPr="005C158A">
        <w:rPr>
          <w:rFonts w:ascii="Arial" w:hAnsi="Arial" w:cs="Arial"/>
          <w:sz w:val="20"/>
          <w:szCs w:val="20"/>
        </w:rPr>
        <w:t>,</w:t>
      </w:r>
      <w:r w:rsidRPr="005C158A">
        <w:rPr>
          <w:rFonts w:ascii="Arial" w:hAnsi="Arial" w:cs="Arial"/>
          <w:sz w:val="20"/>
          <w:szCs w:val="20"/>
        </w:rPr>
        <w:t xml:space="preserve"> zasadnym jest uregulowanie kwestii naliczania odsetek za zwłokę w przypadku odroczenia lub rozłożenia na raty zapłaty zaległej administracyjnej kary pieniężnej wraz z odsetkami za zwłokę.</w:t>
      </w:r>
    </w:p>
    <w:p w14:paraId="6F719AE7" w14:textId="77777777" w:rsidR="00791A0A" w:rsidRPr="005C158A" w:rsidRDefault="002525DF" w:rsidP="00401710">
      <w:pPr>
        <w:spacing w:before="120" w:after="120" w:line="360" w:lineRule="auto"/>
        <w:jc w:val="both"/>
        <w:rPr>
          <w:rFonts w:ascii="Arial" w:hAnsi="Arial" w:cs="Arial"/>
          <w:sz w:val="20"/>
          <w:szCs w:val="20"/>
        </w:rPr>
      </w:pPr>
      <w:r w:rsidRPr="005C158A">
        <w:rPr>
          <w:rFonts w:ascii="Arial" w:hAnsi="Arial" w:cs="Arial"/>
          <w:sz w:val="20"/>
          <w:szCs w:val="20"/>
        </w:rPr>
        <w:lastRenderedPageBreak/>
        <w:t>W takim przypadku odsetki za zwłokę będzie naliczać się do dnia złożenia wniosku przez stronę o</w:t>
      </w:r>
      <w:r w:rsidR="00295358" w:rsidRPr="005C158A">
        <w:rPr>
          <w:rFonts w:ascii="Arial" w:hAnsi="Arial" w:cs="Arial"/>
          <w:sz w:val="20"/>
          <w:szCs w:val="20"/>
        </w:rPr>
        <w:t> </w:t>
      </w:r>
      <w:r w:rsidRPr="005C158A">
        <w:rPr>
          <w:rFonts w:ascii="Arial" w:hAnsi="Arial" w:cs="Arial"/>
          <w:sz w:val="20"/>
          <w:szCs w:val="20"/>
        </w:rPr>
        <w:t>zastosowanie ww. ulgi. W przypadku, gdy strona pomimo odroczenia lub rozłożenia na raty zaległej administracyjnej kary pieniężnej nie dokona jej wpłaty w ustalonym terminie, to powstanie zaległość na zasadach ogólnych, tj. na podstawie obowiązującego art. 189i §</w:t>
      </w:r>
      <w:r w:rsidR="00DF020A" w:rsidRPr="005C158A">
        <w:rPr>
          <w:rFonts w:ascii="Arial" w:hAnsi="Arial" w:cs="Arial"/>
          <w:sz w:val="20"/>
          <w:szCs w:val="20"/>
        </w:rPr>
        <w:t> </w:t>
      </w:r>
      <w:r w:rsidRPr="005C158A">
        <w:rPr>
          <w:rFonts w:ascii="Arial" w:hAnsi="Arial" w:cs="Arial"/>
          <w:sz w:val="20"/>
          <w:szCs w:val="20"/>
        </w:rPr>
        <w:t>2</w:t>
      </w:r>
      <w:r w:rsidR="00DF020A" w:rsidRPr="005C158A">
        <w:rPr>
          <w:rFonts w:ascii="Arial" w:hAnsi="Arial" w:cs="Arial"/>
          <w:sz w:val="20"/>
          <w:szCs w:val="20"/>
        </w:rPr>
        <w:t> </w:t>
      </w:r>
      <w:r w:rsidRPr="005C158A">
        <w:rPr>
          <w:rFonts w:ascii="Arial" w:hAnsi="Arial" w:cs="Arial"/>
          <w:sz w:val="20"/>
          <w:szCs w:val="20"/>
        </w:rPr>
        <w:t>K</w:t>
      </w:r>
      <w:r w:rsidR="00DF020A" w:rsidRPr="005C158A">
        <w:rPr>
          <w:rFonts w:ascii="Arial" w:hAnsi="Arial" w:cs="Arial"/>
          <w:sz w:val="20"/>
          <w:szCs w:val="20"/>
        </w:rPr>
        <w:t xml:space="preserve">pa </w:t>
      </w:r>
      <w:r w:rsidRPr="005C158A">
        <w:rPr>
          <w:rFonts w:ascii="Arial" w:hAnsi="Arial" w:cs="Arial"/>
          <w:sz w:val="20"/>
          <w:szCs w:val="20"/>
        </w:rPr>
        <w:t>będą naliczane odsetki za zwłokę do momentu uregulowania ww. należności zgodnie z harmonogramem.</w:t>
      </w:r>
      <w:r w:rsidR="00D62721" w:rsidRPr="005C158A">
        <w:rPr>
          <w:rFonts w:ascii="Arial" w:hAnsi="Arial" w:cs="Arial"/>
          <w:sz w:val="20"/>
          <w:szCs w:val="20"/>
        </w:rPr>
        <w:t xml:space="preserve"> </w:t>
      </w:r>
    </w:p>
    <w:p w14:paraId="7471B24B" w14:textId="77777777" w:rsidR="00791A0A" w:rsidRPr="005C158A" w:rsidRDefault="00791A0A" w:rsidP="00791A0A">
      <w:pPr>
        <w:spacing w:before="120" w:after="120" w:line="360" w:lineRule="auto"/>
        <w:jc w:val="both"/>
        <w:rPr>
          <w:rFonts w:ascii="Arial" w:hAnsi="Arial" w:cs="Arial"/>
          <w:sz w:val="20"/>
          <w:szCs w:val="20"/>
        </w:rPr>
      </w:pPr>
      <w:r w:rsidRPr="005C158A">
        <w:rPr>
          <w:rFonts w:ascii="Arial" w:hAnsi="Arial" w:cs="Arial"/>
          <w:sz w:val="20"/>
          <w:szCs w:val="20"/>
        </w:rPr>
        <w:t>Należy też wskazać, że w przypadku zaległej administracyjnej kary pieniężnej mamy do czynienia z koniecznością naliczenia odsetek za zwłokę. W związku z tym w przypadku odroczenia lub rozłożenia na raty zaległej administracyjnej kary pieniężnej, w związku ze złożonym wnioskiem przez stronę w ww. zakresie, konieczne jest uregulowanie momentu, do którego będą naliczane odsetki za zwłokę. Jednocześnie przepis ten będzie miał zastosowanie w każdej sytuacji, gdy odroczono zapłatę lub rozłożono na raty zaległą administracyjną karę pieniężną. Należy też zauważyć, że analogiczny przepis zawarty jest w rozporządzenie Ministra Finansów z dnia 22 sierpnia 2005 r. w sprawie naliczania odsetek za zwłokę oraz opłaty prolongacyjnej, a także zakresu informacji, które muszą być zawarte w rachunkach.</w:t>
      </w:r>
    </w:p>
    <w:p w14:paraId="48D1EB92" w14:textId="77777777" w:rsidR="00791A0A" w:rsidRPr="005C158A" w:rsidRDefault="00791A0A" w:rsidP="00791A0A">
      <w:pPr>
        <w:spacing w:before="120" w:after="120" w:line="360" w:lineRule="auto"/>
        <w:jc w:val="both"/>
        <w:rPr>
          <w:rFonts w:ascii="Arial" w:hAnsi="Arial" w:cs="Arial"/>
          <w:sz w:val="20"/>
          <w:szCs w:val="20"/>
        </w:rPr>
      </w:pPr>
      <w:r w:rsidRPr="005C158A">
        <w:rPr>
          <w:rFonts w:ascii="Arial" w:hAnsi="Arial" w:cs="Arial"/>
          <w:sz w:val="20"/>
          <w:szCs w:val="20"/>
        </w:rPr>
        <w:t xml:space="preserve">Należy też zauważyć, że w art. 189k § 2a Kpa nie odniesiono się do odroczenia lub rozłożenia na raty administracyjnej kary pieniężnej „wraz z odsetkami za zwłokę” ponieważ zastosowanie ww. ulgi wynika z art. 189k § 2 pkt 2 Kpa. Natomiast w § 2a chodzi jedynie o określenie momentu, do którego naliczane są odsetki za zwłokę od zaległej administracyjnej kary pieniężnej w związku z zastosowaniem ww. ulg. </w:t>
      </w:r>
    </w:p>
    <w:p w14:paraId="3847117D" w14:textId="77777777" w:rsidR="00791A0A" w:rsidRPr="005C158A" w:rsidRDefault="00791A0A" w:rsidP="00791A0A">
      <w:pPr>
        <w:spacing w:before="120" w:after="120" w:line="360" w:lineRule="auto"/>
        <w:jc w:val="both"/>
        <w:rPr>
          <w:rFonts w:ascii="Arial" w:hAnsi="Arial" w:cs="Arial"/>
          <w:sz w:val="20"/>
          <w:szCs w:val="20"/>
        </w:rPr>
      </w:pPr>
      <w:r w:rsidRPr="005C158A">
        <w:rPr>
          <w:rFonts w:ascii="Arial" w:hAnsi="Arial" w:cs="Arial"/>
          <w:sz w:val="20"/>
          <w:szCs w:val="20"/>
        </w:rPr>
        <w:t xml:space="preserve">Dodawany natomiast art. 189k § 2b-2d Kpa ma na celu uregulowanie zasad postępowania w przypadku opóźnień w zapłacie odroczonej lub rozłożonej na raty administracyjnej kary pieniężnej lub zaległej administracyjnej kary pieniężnej (wraz z odsetkami za zwłokę). Analogiczna regulacja zawarta jest w art. 67da Op. </w:t>
      </w:r>
    </w:p>
    <w:bookmarkEnd w:id="15"/>
    <w:p w14:paraId="40B0F65E" w14:textId="64DF6244" w:rsidR="00D62EC9" w:rsidRPr="005C158A" w:rsidRDefault="00791A0A" w:rsidP="0011422D">
      <w:pPr>
        <w:pStyle w:val="Akapitzlist"/>
        <w:numPr>
          <w:ilvl w:val="0"/>
          <w:numId w:val="1"/>
        </w:numPr>
        <w:spacing w:before="120" w:after="120" w:line="360" w:lineRule="auto"/>
        <w:jc w:val="both"/>
        <w:rPr>
          <w:rFonts w:ascii="Arial" w:hAnsi="Arial" w:cs="Arial"/>
          <w:sz w:val="20"/>
          <w:szCs w:val="20"/>
        </w:rPr>
      </w:pPr>
      <w:r w:rsidRPr="005C158A">
        <w:rPr>
          <w:rFonts w:ascii="Arial" w:hAnsi="Arial" w:cs="Arial"/>
          <w:sz w:val="20"/>
          <w:szCs w:val="20"/>
        </w:rPr>
        <w:t xml:space="preserve">Udzielanie ulg z urzędu </w:t>
      </w:r>
      <w:r w:rsidR="00D62EC9" w:rsidRPr="005C158A">
        <w:rPr>
          <w:rFonts w:ascii="Arial" w:hAnsi="Arial" w:cs="Arial"/>
          <w:sz w:val="20"/>
          <w:szCs w:val="20"/>
        </w:rPr>
        <w:t>w zakresie administracyjnych kar pieniężnych</w:t>
      </w:r>
      <w:r w:rsidR="00616C5E" w:rsidRPr="005C158A">
        <w:rPr>
          <w:rFonts w:ascii="Arial" w:hAnsi="Arial" w:cs="Arial"/>
          <w:sz w:val="20"/>
          <w:szCs w:val="20"/>
        </w:rPr>
        <w:t>.</w:t>
      </w:r>
      <w:r w:rsidR="00D62EC9" w:rsidRPr="005C158A">
        <w:rPr>
          <w:rFonts w:ascii="Arial" w:hAnsi="Arial" w:cs="Arial"/>
          <w:sz w:val="20"/>
          <w:szCs w:val="20"/>
        </w:rPr>
        <w:t xml:space="preserve"> </w:t>
      </w:r>
    </w:p>
    <w:p w14:paraId="0612AAF7" w14:textId="3A36B447" w:rsidR="00D62EC9" w:rsidRPr="005C158A" w:rsidRDefault="00D62EC9"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00CB2E00" w:rsidRPr="005C158A">
        <w:rPr>
          <w:rFonts w:ascii="Arial" w:hAnsi="Arial" w:cs="Arial"/>
          <w:sz w:val="20"/>
          <w:szCs w:val="20"/>
        </w:rPr>
        <w:t>obowiązującym</w:t>
      </w:r>
      <w:r w:rsidRPr="005C158A">
        <w:rPr>
          <w:rFonts w:ascii="Arial" w:hAnsi="Arial" w:cs="Arial"/>
          <w:sz w:val="20"/>
          <w:szCs w:val="20"/>
        </w:rPr>
        <w:t xml:space="preserve"> stanie prawnym ulga w wykonywaniu administracyjnej kary pieniężnej jest udzielana w formie decyzji administracyjnej w postępowaniu wszczynanym na wniosek. Zgodnie z art. 189k § 1 </w:t>
      </w:r>
      <w:r w:rsidR="00DF020A" w:rsidRPr="005C158A">
        <w:rPr>
          <w:rFonts w:ascii="Arial" w:hAnsi="Arial" w:cs="Arial"/>
          <w:sz w:val="20"/>
          <w:szCs w:val="20"/>
        </w:rPr>
        <w:t>Kpa</w:t>
      </w:r>
      <w:r w:rsidRPr="005C158A">
        <w:rPr>
          <w:rFonts w:ascii="Arial" w:hAnsi="Arial" w:cs="Arial"/>
          <w:sz w:val="20"/>
          <w:szCs w:val="20"/>
        </w:rPr>
        <w:t xml:space="preserve"> organ administracji publicznej, który nałożył administracyjną karę pieniężną, na wniosek strony, w</w:t>
      </w:r>
      <w:r w:rsidR="00295358" w:rsidRPr="005C158A">
        <w:rPr>
          <w:rFonts w:ascii="Arial" w:hAnsi="Arial" w:cs="Arial"/>
          <w:sz w:val="20"/>
          <w:szCs w:val="20"/>
        </w:rPr>
        <w:t> </w:t>
      </w:r>
      <w:r w:rsidRPr="005C158A">
        <w:rPr>
          <w:rFonts w:ascii="Arial" w:hAnsi="Arial" w:cs="Arial"/>
          <w:sz w:val="20"/>
          <w:szCs w:val="20"/>
        </w:rPr>
        <w:t xml:space="preserve">przypadkach uzasadnionych ważnym interesem publicznym lub ważnym interesem strony, może udzielić ulg w wykonaniu administracyjnej kary pieniężnej. </w:t>
      </w:r>
      <w:r w:rsidR="00CB2E00" w:rsidRPr="005C158A">
        <w:rPr>
          <w:rFonts w:ascii="Arial" w:hAnsi="Arial" w:cs="Arial"/>
          <w:sz w:val="20"/>
          <w:szCs w:val="20"/>
        </w:rPr>
        <w:t>Obecnie</w:t>
      </w:r>
      <w:r w:rsidRPr="005C158A">
        <w:rPr>
          <w:rFonts w:ascii="Arial" w:hAnsi="Arial" w:cs="Arial"/>
          <w:sz w:val="20"/>
          <w:szCs w:val="20"/>
        </w:rPr>
        <w:t xml:space="preserve"> nie jest więc dopuszczalne prowadzenie ww. postępowania przez organ z urzędu</w:t>
      </w:r>
      <w:r w:rsidR="00791A0A" w:rsidRPr="005C158A">
        <w:rPr>
          <w:rFonts w:ascii="Arial" w:hAnsi="Arial" w:cs="Arial"/>
          <w:sz w:val="20"/>
          <w:szCs w:val="20"/>
        </w:rPr>
        <w:t>.</w:t>
      </w:r>
    </w:p>
    <w:p w14:paraId="5DE1F361" w14:textId="147D7690" w:rsidR="00E26F9E" w:rsidRPr="005C158A" w:rsidRDefault="00D62EC9" w:rsidP="00401710">
      <w:pPr>
        <w:spacing w:before="120" w:after="120" w:line="360" w:lineRule="auto"/>
        <w:jc w:val="both"/>
        <w:rPr>
          <w:rFonts w:ascii="Arial" w:hAnsi="Arial" w:cs="Arial"/>
          <w:sz w:val="20"/>
          <w:szCs w:val="20"/>
        </w:rPr>
      </w:pPr>
      <w:r w:rsidRPr="005C158A">
        <w:rPr>
          <w:rFonts w:ascii="Arial" w:hAnsi="Arial" w:cs="Arial"/>
          <w:sz w:val="20"/>
          <w:szCs w:val="20"/>
        </w:rPr>
        <w:t>W związku z tym proponuje się wprowadzenie możliwości wszczęcia postępowania o udzielenie ulgi w</w:t>
      </w:r>
      <w:r w:rsidR="00295358" w:rsidRPr="005C158A">
        <w:rPr>
          <w:rFonts w:ascii="Arial" w:hAnsi="Arial" w:cs="Arial"/>
          <w:sz w:val="20"/>
          <w:szCs w:val="20"/>
        </w:rPr>
        <w:t> </w:t>
      </w:r>
      <w:r w:rsidRPr="005C158A">
        <w:rPr>
          <w:rFonts w:ascii="Arial" w:hAnsi="Arial" w:cs="Arial"/>
          <w:sz w:val="20"/>
          <w:szCs w:val="20"/>
        </w:rPr>
        <w:t>wykonaniu administracyjnej kary pieniężnej z urzędu</w:t>
      </w:r>
      <w:r w:rsidR="0060210D" w:rsidRPr="005C158A">
        <w:rPr>
          <w:rFonts w:ascii="Arial" w:hAnsi="Arial" w:cs="Arial"/>
          <w:sz w:val="20"/>
          <w:szCs w:val="20"/>
        </w:rPr>
        <w:t xml:space="preserve"> (</w:t>
      </w:r>
      <w:r w:rsidR="0060210D" w:rsidRPr="005C158A">
        <w:rPr>
          <w:rFonts w:ascii="Arial" w:hAnsi="Arial" w:cs="Arial"/>
          <w:b/>
          <w:bCs/>
          <w:sz w:val="20"/>
          <w:szCs w:val="20"/>
        </w:rPr>
        <w:t>art. 189l</w:t>
      </w:r>
      <w:r w:rsidR="00DF020A" w:rsidRPr="005C158A">
        <w:rPr>
          <w:rFonts w:ascii="Arial" w:hAnsi="Arial" w:cs="Arial"/>
          <w:b/>
          <w:bCs/>
          <w:sz w:val="20"/>
          <w:szCs w:val="20"/>
        </w:rPr>
        <w:t xml:space="preserve"> Kpa</w:t>
      </w:r>
      <w:r w:rsidR="0060210D" w:rsidRPr="005C158A">
        <w:rPr>
          <w:rFonts w:ascii="Arial" w:hAnsi="Arial" w:cs="Arial"/>
          <w:sz w:val="20"/>
          <w:szCs w:val="20"/>
        </w:rPr>
        <w:t>)</w:t>
      </w:r>
      <w:r w:rsidRPr="005C158A">
        <w:rPr>
          <w:rFonts w:ascii="Arial" w:hAnsi="Arial" w:cs="Arial"/>
          <w:sz w:val="20"/>
          <w:szCs w:val="20"/>
        </w:rPr>
        <w:t>. Rozstrzygnięcie w tym przedmiocie opiera się na uznaniu administracyjnym, gdyż nawet w przypadku zaistnienia enumeratywnie wymienionych przesłanek, organ podatkowy „może”, ale nie musi umorzyć zaległości.</w:t>
      </w:r>
    </w:p>
    <w:p w14:paraId="3B018159" w14:textId="52BC9967" w:rsidR="000A61F4" w:rsidRPr="005C158A" w:rsidRDefault="000A61F4" w:rsidP="00401710">
      <w:pPr>
        <w:spacing w:before="120" w:after="120" w:line="360" w:lineRule="auto"/>
        <w:jc w:val="both"/>
        <w:rPr>
          <w:rFonts w:ascii="Arial" w:hAnsi="Arial" w:cs="Arial"/>
          <w:sz w:val="20"/>
          <w:szCs w:val="20"/>
        </w:rPr>
      </w:pPr>
      <w:r w:rsidRPr="005C158A">
        <w:rPr>
          <w:rFonts w:ascii="Arial" w:hAnsi="Arial" w:cs="Arial"/>
          <w:sz w:val="20"/>
          <w:szCs w:val="20"/>
        </w:rPr>
        <w:t>Wskazane w art. 189l § 1 Kpa przesłanki mają na celu wyeliminowanie tych administracyjnych kar pieniężnych</w:t>
      </w:r>
      <w:r w:rsidR="00791A0A" w:rsidRPr="005C158A">
        <w:rPr>
          <w:rFonts w:ascii="Arial" w:hAnsi="Arial" w:cs="Arial"/>
          <w:sz w:val="20"/>
          <w:szCs w:val="20"/>
        </w:rPr>
        <w:t>m.in.</w:t>
      </w:r>
      <w:r w:rsidRPr="005C158A">
        <w:rPr>
          <w:rFonts w:ascii="Arial" w:hAnsi="Arial" w:cs="Arial"/>
          <w:sz w:val="20"/>
          <w:szCs w:val="20"/>
        </w:rPr>
        <w:t>, w stosunku do których zachodzi uzasadnione przypuszczenie, że egzekucja administracyjna będzie bezskuteczna z powodu braku majątku lub źródła dochodu zobowiązanego, z</w:t>
      </w:r>
      <w:r w:rsidR="00295358" w:rsidRPr="005C158A">
        <w:rPr>
          <w:rFonts w:ascii="Arial" w:hAnsi="Arial" w:cs="Arial"/>
          <w:sz w:val="20"/>
          <w:szCs w:val="20"/>
        </w:rPr>
        <w:t> </w:t>
      </w:r>
      <w:r w:rsidRPr="005C158A">
        <w:rPr>
          <w:rFonts w:ascii="Arial" w:hAnsi="Arial" w:cs="Arial"/>
          <w:sz w:val="20"/>
          <w:szCs w:val="20"/>
        </w:rPr>
        <w:t>których jest możliwe wyegzekwowanie środków pieniężnych przewyższających koszty dochodzenia oraz koszty egzekucyjne</w:t>
      </w:r>
      <w:r w:rsidR="00791A0A" w:rsidRPr="005C158A">
        <w:rPr>
          <w:rFonts w:ascii="Arial" w:hAnsi="Arial" w:cs="Arial"/>
          <w:sz w:val="20"/>
          <w:szCs w:val="20"/>
        </w:rPr>
        <w:t>.</w:t>
      </w:r>
    </w:p>
    <w:p w14:paraId="4B66EEDE" w14:textId="00B733DF" w:rsidR="0060210D" w:rsidRPr="005C158A" w:rsidRDefault="0060210D" w:rsidP="00401710">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Wprowadzana instytucja jest wzorowana na regulacji art. 67d </w:t>
      </w:r>
      <w:proofErr w:type="spellStart"/>
      <w:r w:rsidR="00DF020A" w:rsidRPr="005C158A">
        <w:rPr>
          <w:rFonts w:ascii="Arial" w:hAnsi="Arial" w:cs="Arial"/>
          <w:sz w:val="20"/>
          <w:szCs w:val="20"/>
        </w:rPr>
        <w:t>Op</w:t>
      </w:r>
      <w:proofErr w:type="spellEnd"/>
      <w:r w:rsidRPr="005C158A">
        <w:rPr>
          <w:rFonts w:ascii="Arial" w:hAnsi="Arial" w:cs="Arial"/>
          <w:sz w:val="20"/>
          <w:szCs w:val="20"/>
        </w:rPr>
        <w:t xml:space="preserve"> oraz art. 64 ustawy z dnia 27 sierpnia 2009 r. o finansach publicznych.</w:t>
      </w:r>
    </w:p>
    <w:p w14:paraId="2D33F8CD" w14:textId="44A5B001" w:rsidR="00C53632" w:rsidRPr="005C158A" w:rsidRDefault="004761CA"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Zmiany w zakresie </w:t>
      </w:r>
      <w:r w:rsidR="00C53632" w:rsidRPr="005C158A">
        <w:rPr>
          <w:rFonts w:ascii="Arial" w:hAnsi="Arial" w:cs="Arial"/>
          <w:sz w:val="20"/>
          <w:szCs w:val="20"/>
        </w:rPr>
        <w:t>uiszczania zaliczek na poczet kosztów postępowania</w:t>
      </w:r>
      <w:r w:rsidR="00616C5E" w:rsidRPr="005C158A">
        <w:rPr>
          <w:rFonts w:ascii="Arial" w:hAnsi="Arial" w:cs="Arial"/>
          <w:sz w:val="20"/>
          <w:szCs w:val="20"/>
        </w:rPr>
        <w:t>.</w:t>
      </w:r>
    </w:p>
    <w:p w14:paraId="4CA3C04E" w14:textId="2C307315" w:rsidR="004761CA" w:rsidRPr="005C158A" w:rsidRDefault="004761CA" w:rsidP="00401710">
      <w:pPr>
        <w:spacing w:before="120" w:after="120" w:line="360" w:lineRule="auto"/>
        <w:jc w:val="both"/>
        <w:rPr>
          <w:rFonts w:ascii="Arial" w:hAnsi="Arial" w:cs="Arial"/>
          <w:sz w:val="20"/>
          <w:szCs w:val="20"/>
        </w:rPr>
      </w:pPr>
      <w:r w:rsidRPr="005C158A">
        <w:rPr>
          <w:rFonts w:ascii="Arial" w:hAnsi="Arial" w:cs="Arial"/>
          <w:sz w:val="20"/>
          <w:szCs w:val="20"/>
        </w:rPr>
        <w:t>Zgodnie z art. 262 § 1 Kpa stronę obciążają te koszty postępowania, które:</w:t>
      </w:r>
    </w:p>
    <w:p w14:paraId="67950B73" w14:textId="7BBD4C94" w:rsidR="004761CA" w:rsidRPr="005C158A" w:rsidRDefault="004761CA" w:rsidP="00401710">
      <w:pPr>
        <w:spacing w:before="120" w:after="120" w:line="360" w:lineRule="auto"/>
        <w:jc w:val="both"/>
        <w:rPr>
          <w:rFonts w:ascii="Arial" w:hAnsi="Arial" w:cs="Arial"/>
          <w:sz w:val="20"/>
          <w:szCs w:val="20"/>
        </w:rPr>
      </w:pPr>
      <w:r w:rsidRPr="005C158A">
        <w:rPr>
          <w:rFonts w:ascii="Arial" w:hAnsi="Arial" w:cs="Arial"/>
          <w:sz w:val="20"/>
          <w:szCs w:val="20"/>
        </w:rPr>
        <w:t>1) wynikły z winy strony; 2) zostały poniesione w interesie lub na żądanie strony, a nie wynikają z</w:t>
      </w:r>
      <w:r w:rsidR="00295358" w:rsidRPr="005C158A">
        <w:rPr>
          <w:rFonts w:ascii="Arial" w:hAnsi="Arial" w:cs="Arial"/>
          <w:sz w:val="20"/>
          <w:szCs w:val="20"/>
        </w:rPr>
        <w:t> </w:t>
      </w:r>
      <w:r w:rsidRPr="005C158A">
        <w:rPr>
          <w:rFonts w:ascii="Arial" w:hAnsi="Arial" w:cs="Arial"/>
          <w:sz w:val="20"/>
          <w:szCs w:val="20"/>
        </w:rPr>
        <w:t>ustawowego obowiązku organów prowadzących postępowanie.</w:t>
      </w:r>
    </w:p>
    <w:p w14:paraId="5A4948E8" w14:textId="77777777" w:rsidR="004761CA" w:rsidRPr="005C158A" w:rsidRDefault="004761CA"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Jednocześnie w myśl </w:t>
      </w:r>
      <w:r w:rsidRPr="005C158A">
        <w:rPr>
          <w:rFonts w:ascii="Arial" w:hAnsi="Arial" w:cs="Arial"/>
          <w:b/>
          <w:bCs/>
          <w:sz w:val="20"/>
          <w:szCs w:val="20"/>
        </w:rPr>
        <w:t>art. 262 § 2 Kpa</w:t>
      </w:r>
      <w:r w:rsidRPr="005C158A">
        <w:rPr>
          <w:rFonts w:ascii="Arial" w:hAnsi="Arial" w:cs="Arial"/>
          <w:sz w:val="20"/>
          <w:szCs w:val="20"/>
        </w:rPr>
        <w:t xml:space="preserve"> w uzasadnionych przypadkach organ administracji publicznej może zażądać od strony złożenia zaliczki w określonej wysokości na pokrycie kosztów postępowania. </w:t>
      </w:r>
    </w:p>
    <w:p w14:paraId="28B14F22" w14:textId="0E7D88B2" w:rsidR="00617E2C" w:rsidRPr="005C158A" w:rsidRDefault="004761CA"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Użyte w ww. przepisie sformułowanie „w uzasadnionych przypadkach” jest niewystarczające. Nie jest bowiem jasne, co ma stanowić „uzasadniony przypadek”. </w:t>
      </w:r>
      <w:r w:rsidR="00791A0A" w:rsidRPr="005C158A">
        <w:rPr>
          <w:rFonts w:ascii="Arial" w:hAnsi="Arial" w:cs="Arial"/>
          <w:sz w:val="20"/>
          <w:szCs w:val="20"/>
        </w:rPr>
        <w:t xml:space="preserve">W związku z tym z przepisu tego usunięto ww. sformułowanie. </w:t>
      </w:r>
    </w:p>
    <w:p w14:paraId="3B4C5059" w14:textId="59D983BE" w:rsidR="00791A0A" w:rsidRPr="005C158A" w:rsidRDefault="00791A0A" w:rsidP="00785C7B">
      <w:pPr>
        <w:spacing w:before="120" w:after="120" w:line="360" w:lineRule="auto"/>
        <w:jc w:val="both"/>
        <w:rPr>
          <w:rFonts w:ascii="Arial" w:hAnsi="Arial" w:cs="Arial"/>
          <w:sz w:val="20"/>
          <w:szCs w:val="20"/>
        </w:rPr>
      </w:pPr>
      <w:r w:rsidRPr="005C158A">
        <w:rPr>
          <w:rFonts w:ascii="Arial" w:hAnsi="Arial" w:cs="Arial"/>
          <w:sz w:val="20"/>
          <w:szCs w:val="20"/>
        </w:rPr>
        <w:t>Obecnie zaliczka na poczet kosztów postępowania nie jest kosztem postępowania, który zgodnie z przepisami powinien być uiszczony z góry w rozumieniu art. 261 Kpa. Dlatego też nieuiszczenie zaliczki nie może spowodować ani zwrotu podania ani też zaniechania przez organ czynności, której dotyczy zaliczka (np. wyr. NSA z 14</w:t>
      </w:r>
      <w:r w:rsidR="009A1EDE" w:rsidRPr="005C158A">
        <w:rPr>
          <w:rFonts w:ascii="Arial" w:hAnsi="Arial" w:cs="Arial"/>
          <w:sz w:val="20"/>
          <w:szCs w:val="20"/>
        </w:rPr>
        <w:t xml:space="preserve"> grudnia </w:t>
      </w:r>
      <w:r w:rsidRPr="005C158A">
        <w:rPr>
          <w:rFonts w:ascii="Arial" w:hAnsi="Arial" w:cs="Arial"/>
          <w:sz w:val="20"/>
          <w:szCs w:val="20"/>
        </w:rPr>
        <w:t>2000 r., II SA/Kr 816/00, ONSA 2002, Nr 1, poz. 35; wyr. WSA w Warszawie z 22</w:t>
      </w:r>
      <w:r w:rsidR="009A1EDE" w:rsidRPr="005C158A">
        <w:rPr>
          <w:rFonts w:ascii="Arial" w:hAnsi="Arial" w:cs="Arial"/>
          <w:sz w:val="20"/>
          <w:szCs w:val="20"/>
        </w:rPr>
        <w:t xml:space="preserve"> czerwca </w:t>
      </w:r>
      <w:r w:rsidRPr="005C158A">
        <w:rPr>
          <w:rFonts w:ascii="Arial" w:hAnsi="Arial" w:cs="Arial"/>
          <w:sz w:val="20"/>
          <w:szCs w:val="20"/>
        </w:rPr>
        <w:t>2004 r., IV SA 82/03; wyr. WSA w Kielcach z 30</w:t>
      </w:r>
      <w:r w:rsidR="009A1EDE" w:rsidRPr="005C158A">
        <w:rPr>
          <w:rFonts w:ascii="Arial" w:hAnsi="Arial" w:cs="Arial"/>
          <w:sz w:val="20"/>
          <w:szCs w:val="20"/>
        </w:rPr>
        <w:t xml:space="preserve"> września </w:t>
      </w:r>
      <w:r w:rsidRPr="005C158A">
        <w:rPr>
          <w:rFonts w:ascii="Arial" w:hAnsi="Arial" w:cs="Arial"/>
          <w:sz w:val="20"/>
          <w:szCs w:val="20"/>
        </w:rPr>
        <w:t>2010 r., II SAB/</w:t>
      </w:r>
      <w:proofErr w:type="spellStart"/>
      <w:r w:rsidRPr="005C158A">
        <w:rPr>
          <w:rFonts w:ascii="Arial" w:hAnsi="Arial" w:cs="Arial"/>
          <w:sz w:val="20"/>
          <w:szCs w:val="20"/>
        </w:rPr>
        <w:t>Ke</w:t>
      </w:r>
      <w:proofErr w:type="spellEnd"/>
      <w:r w:rsidRPr="005C158A">
        <w:rPr>
          <w:rFonts w:ascii="Arial" w:hAnsi="Arial" w:cs="Arial"/>
          <w:sz w:val="20"/>
          <w:szCs w:val="20"/>
        </w:rPr>
        <w:t xml:space="preserve"> 34/10). Brak jest również podstaw do uznania, że postanowienie w przedmiocie zaliczki podlega wykonaniu w drodze przepisów o egzekucji administracyjnej świadczeń pieniężnych. O kosztach postępowania i osobach zobowiązanych do ich poniesienia organ rozstrzyga w trybie art. 264 § 1 Kpa. Jedyną zatem negatywną dla strony konsekwencją zażądania przez organ zaliczki jest to, że termin, w którym zaliczka ta powinna być uiszczona, nie będzie wliczany do terminów załatwienia sprawy (art. 35 § 5 Kpa). </w:t>
      </w:r>
    </w:p>
    <w:p w14:paraId="79B329FD" w14:textId="5C9FD8B7" w:rsidR="00791A0A" w:rsidRPr="005C158A" w:rsidRDefault="00791A0A" w:rsidP="00785C7B">
      <w:pPr>
        <w:spacing w:before="120" w:after="120" w:line="360" w:lineRule="auto"/>
        <w:jc w:val="both"/>
        <w:rPr>
          <w:rFonts w:ascii="Arial" w:hAnsi="Arial" w:cs="Arial"/>
          <w:sz w:val="20"/>
          <w:szCs w:val="20"/>
        </w:rPr>
      </w:pPr>
      <w:r w:rsidRPr="005C158A">
        <w:rPr>
          <w:rFonts w:ascii="Arial" w:hAnsi="Arial" w:cs="Arial"/>
          <w:sz w:val="20"/>
          <w:szCs w:val="20"/>
        </w:rPr>
        <w:t xml:space="preserve">Jednocześnie zmiana obowiązującego art. 262 § 2 Kpa nie ma na celu wprowadzania odmiennych niż obecnie obowiązujące rozwiązań, które byłyby niekorzystne dla strony. </w:t>
      </w:r>
    </w:p>
    <w:p w14:paraId="695ECFEF" w14:textId="77777777" w:rsidR="00791A0A" w:rsidRPr="005C158A" w:rsidRDefault="00791A0A" w:rsidP="00785C7B">
      <w:pPr>
        <w:spacing w:before="120" w:after="120" w:line="360" w:lineRule="auto"/>
        <w:jc w:val="both"/>
        <w:rPr>
          <w:rFonts w:ascii="Arial" w:hAnsi="Arial" w:cs="Arial"/>
          <w:sz w:val="20"/>
          <w:szCs w:val="20"/>
        </w:rPr>
      </w:pPr>
      <w:r w:rsidRPr="005C158A">
        <w:rPr>
          <w:rFonts w:ascii="Arial" w:hAnsi="Arial" w:cs="Arial"/>
          <w:sz w:val="20"/>
          <w:szCs w:val="20"/>
        </w:rPr>
        <w:t>Celem niniejszej propozycji jest jedynie zrezygnowanie z niezdefiniowanego pojęcia „uzasadnionych przypadków”. Należy zauważyć, że pojęcie to jest bardzo szerokie i w związku z brakiem definicji co do zasady każdy przypadek może zostać uznany za uzasadniony.</w:t>
      </w:r>
    </w:p>
    <w:p w14:paraId="107ED1E8" w14:textId="3F8719E2" w:rsidR="00791A0A" w:rsidRPr="005C158A" w:rsidRDefault="00791A0A" w:rsidP="00785C7B">
      <w:pPr>
        <w:spacing w:before="120" w:after="120" w:line="360" w:lineRule="auto"/>
        <w:jc w:val="both"/>
        <w:rPr>
          <w:rFonts w:ascii="Arial" w:hAnsi="Arial" w:cs="Arial"/>
          <w:sz w:val="20"/>
          <w:szCs w:val="20"/>
        </w:rPr>
      </w:pPr>
      <w:r w:rsidRPr="005C158A">
        <w:rPr>
          <w:rFonts w:ascii="Arial" w:hAnsi="Arial" w:cs="Arial"/>
          <w:sz w:val="20"/>
          <w:szCs w:val="20"/>
        </w:rPr>
        <w:t>Należy mieć też na uwadze, że podobnie art. 130</w:t>
      </w:r>
      <w:r w:rsidRPr="005C158A">
        <w:rPr>
          <w:rFonts w:ascii="Arial" w:hAnsi="Arial" w:cs="Arial"/>
          <w:sz w:val="20"/>
          <w:szCs w:val="20"/>
          <w:vertAlign w:val="superscript"/>
        </w:rPr>
        <w:t>4</w:t>
      </w:r>
      <w:r w:rsidRPr="005C158A">
        <w:rPr>
          <w:rFonts w:ascii="Arial" w:hAnsi="Arial" w:cs="Arial"/>
          <w:sz w:val="20"/>
          <w:szCs w:val="20"/>
        </w:rPr>
        <w:t xml:space="preserve"> § 1 K</w:t>
      </w:r>
      <w:r w:rsidR="009A1EDE" w:rsidRPr="005C158A">
        <w:rPr>
          <w:rFonts w:ascii="Arial" w:hAnsi="Arial" w:cs="Arial"/>
          <w:sz w:val="20"/>
          <w:szCs w:val="20"/>
        </w:rPr>
        <w:t>odeksu postępowania cywilnego</w:t>
      </w:r>
      <w:r w:rsidRPr="005C158A">
        <w:rPr>
          <w:rFonts w:ascii="Arial" w:hAnsi="Arial" w:cs="Arial"/>
          <w:sz w:val="20"/>
          <w:szCs w:val="20"/>
        </w:rPr>
        <w:t xml:space="preserve"> nie posługuje się pojęciem „uzasadnionych przypadków”. </w:t>
      </w:r>
    </w:p>
    <w:p w14:paraId="3BA7D588" w14:textId="12E1BC51" w:rsidR="00785C7B" w:rsidRPr="005C158A" w:rsidRDefault="00785C7B" w:rsidP="00DC6DF4">
      <w:pPr>
        <w:pStyle w:val="Akapitzlist"/>
        <w:numPr>
          <w:ilvl w:val="0"/>
          <w:numId w:val="1"/>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Wprowadzenie jednoinstancyjności w wybranych postępowaniach.  </w:t>
      </w:r>
    </w:p>
    <w:p w14:paraId="30B79427" w14:textId="77777777" w:rsidR="00785C7B" w:rsidRPr="005C158A" w:rsidRDefault="00785C7B" w:rsidP="00785C7B">
      <w:pPr>
        <w:spacing w:before="120" w:after="120" w:line="360" w:lineRule="auto"/>
        <w:jc w:val="both"/>
        <w:rPr>
          <w:rFonts w:ascii="Arial" w:hAnsi="Arial" w:cs="Arial"/>
          <w:sz w:val="20"/>
          <w:szCs w:val="20"/>
        </w:rPr>
      </w:pPr>
      <w:r w:rsidRPr="005C158A">
        <w:rPr>
          <w:rFonts w:ascii="Arial" w:hAnsi="Arial" w:cs="Arial"/>
          <w:sz w:val="20"/>
          <w:szCs w:val="20"/>
        </w:rPr>
        <w:t xml:space="preserve">Nowelizacją ustawy – Kodeks postępowania administracyjnego z 2017 r. zmieniono art. 15 tej ustawy regulując, że przy zachowaniu zasady dwuinstancyjności postępowania administracyjnego można odstąpić od niej w przepisach szczególnych. </w:t>
      </w:r>
    </w:p>
    <w:p w14:paraId="0DBB7C87" w14:textId="77777777" w:rsidR="00785C7B" w:rsidRPr="005C158A" w:rsidRDefault="00785C7B" w:rsidP="00785C7B">
      <w:pPr>
        <w:spacing w:before="120" w:after="120" w:line="360" w:lineRule="auto"/>
        <w:jc w:val="both"/>
        <w:rPr>
          <w:rFonts w:ascii="Arial" w:hAnsi="Arial" w:cs="Arial"/>
          <w:sz w:val="20"/>
          <w:szCs w:val="20"/>
        </w:rPr>
      </w:pPr>
      <w:r w:rsidRPr="005C158A">
        <w:rPr>
          <w:rFonts w:ascii="Arial" w:hAnsi="Arial" w:cs="Arial"/>
          <w:sz w:val="20"/>
          <w:szCs w:val="20"/>
        </w:rPr>
        <w:t xml:space="preserve">Zmiana wspominanego przepisu potwierdziła wynikającą z Konstytucji RP oraz znajdującą wyraz już obecnie w przepisach szczególnych elastyczność w zakresie konstruowania zasad i środków prawnych, </w:t>
      </w:r>
      <w:r w:rsidRPr="005C158A">
        <w:rPr>
          <w:rFonts w:ascii="Arial" w:hAnsi="Arial" w:cs="Arial"/>
          <w:sz w:val="20"/>
          <w:szCs w:val="20"/>
        </w:rPr>
        <w:lastRenderedPageBreak/>
        <w:t>które służą do weryfikacji decyzji i postanowień, w zależności od charakteru i okoliczności konkretnych spraw.</w:t>
      </w:r>
    </w:p>
    <w:p w14:paraId="624DD162" w14:textId="088A5733" w:rsidR="00785C7B" w:rsidRPr="005C158A" w:rsidRDefault="00785C7B" w:rsidP="00785C7B">
      <w:pPr>
        <w:spacing w:before="120" w:after="120" w:line="360" w:lineRule="auto"/>
        <w:jc w:val="both"/>
        <w:rPr>
          <w:rFonts w:ascii="Arial" w:hAnsi="Arial" w:cs="Arial"/>
          <w:sz w:val="20"/>
          <w:szCs w:val="20"/>
        </w:rPr>
      </w:pPr>
      <w:r w:rsidRPr="005C158A">
        <w:rPr>
          <w:rFonts w:ascii="Arial" w:hAnsi="Arial" w:cs="Arial"/>
          <w:sz w:val="20"/>
          <w:szCs w:val="20"/>
        </w:rPr>
        <w:t xml:space="preserve">Niniejszy projekt przewiduje odejście od zasady dwuinstancyjności </w:t>
      </w:r>
      <w:r w:rsidR="009A1EDE" w:rsidRPr="005C158A">
        <w:rPr>
          <w:rFonts w:ascii="Arial" w:hAnsi="Arial" w:cs="Arial"/>
          <w:sz w:val="20"/>
          <w:szCs w:val="20"/>
        </w:rPr>
        <w:t xml:space="preserve">w kolejnych, wybranych postepowaniach </w:t>
      </w:r>
      <w:r w:rsidRPr="005C158A">
        <w:rPr>
          <w:rFonts w:ascii="Arial" w:hAnsi="Arial" w:cs="Arial"/>
          <w:sz w:val="20"/>
          <w:szCs w:val="20"/>
        </w:rPr>
        <w:t>mając przede wszystkim na względzie potrzebę ochrony praw strony.</w:t>
      </w:r>
    </w:p>
    <w:p w14:paraId="1E6EA90D" w14:textId="77777777" w:rsidR="004E56AD" w:rsidRPr="005C158A" w:rsidRDefault="004E56AD" w:rsidP="00401710">
      <w:pPr>
        <w:pStyle w:val="Nagwek2"/>
        <w:spacing w:before="120" w:after="120" w:line="360" w:lineRule="auto"/>
        <w:jc w:val="both"/>
        <w:rPr>
          <w:rFonts w:ascii="Arial" w:hAnsi="Arial" w:cs="Arial"/>
          <w:color w:val="auto"/>
          <w:sz w:val="20"/>
          <w:szCs w:val="20"/>
        </w:rPr>
      </w:pPr>
      <w:bookmarkStart w:id="16" w:name="_Toc138329745"/>
      <w:bookmarkStart w:id="17" w:name="_Hlk127521427"/>
      <w:r w:rsidRPr="005C158A">
        <w:rPr>
          <w:rFonts w:ascii="Arial" w:hAnsi="Arial" w:cs="Arial"/>
          <w:color w:val="auto"/>
          <w:sz w:val="20"/>
          <w:szCs w:val="20"/>
        </w:rPr>
        <w:t>Ustawa z dnia 23 kwietnia 1964 r. – Kodeks cywilny</w:t>
      </w:r>
      <w:bookmarkEnd w:id="16"/>
    </w:p>
    <w:p w14:paraId="7BFF90CC" w14:textId="4F30E75A" w:rsidR="009125C2" w:rsidRPr="005C158A" w:rsidRDefault="009125C2" w:rsidP="00DC6DF4">
      <w:pPr>
        <w:pStyle w:val="Akapitzlist"/>
        <w:numPr>
          <w:ilvl w:val="0"/>
          <w:numId w:val="22"/>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Działalność gospodarcza </w:t>
      </w:r>
      <w:r w:rsidR="009C049C" w:rsidRPr="005C158A">
        <w:rPr>
          <w:rFonts w:ascii="Arial" w:hAnsi="Arial" w:cs="Arial"/>
          <w:sz w:val="20"/>
          <w:szCs w:val="20"/>
        </w:rPr>
        <w:t>osób posiadających ograniczoną zdolność do czynności prawnych</w:t>
      </w:r>
      <w:r w:rsidRPr="005C158A">
        <w:rPr>
          <w:rFonts w:ascii="Arial" w:hAnsi="Arial" w:cs="Arial"/>
          <w:sz w:val="20"/>
          <w:szCs w:val="20"/>
        </w:rPr>
        <w:t>.</w:t>
      </w:r>
    </w:p>
    <w:p w14:paraId="13030253" w14:textId="222846DB" w:rsidR="004E56AD" w:rsidRPr="005C158A" w:rsidRDefault="004E56AD" w:rsidP="00401710">
      <w:pPr>
        <w:spacing w:before="120" w:after="120" w:line="360" w:lineRule="auto"/>
        <w:jc w:val="both"/>
        <w:rPr>
          <w:rFonts w:ascii="Arial" w:hAnsi="Arial" w:cs="Arial"/>
          <w:sz w:val="20"/>
          <w:szCs w:val="20"/>
        </w:rPr>
      </w:pPr>
      <w:r w:rsidRPr="005C158A">
        <w:rPr>
          <w:rFonts w:ascii="Arial" w:hAnsi="Arial" w:cs="Arial"/>
          <w:sz w:val="20"/>
          <w:szCs w:val="20"/>
        </w:rPr>
        <w:t>Proponuje się uregulować zasady prowadzenia działalności gospodarczej przez</w:t>
      </w:r>
      <w:r w:rsidR="009C049C" w:rsidRPr="005C158A">
        <w:rPr>
          <w:rFonts w:ascii="Arial" w:hAnsi="Arial" w:cs="Arial"/>
          <w:sz w:val="20"/>
          <w:szCs w:val="20"/>
        </w:rPr>
        <w:t xml:space="preserve"> osoby posiadające ograniczoną zdolność do czynności prawnych</w:t>
      </w:r>
      <w:r w:rsidR="002D53ED" w:rsidRPr="005C158A">
        <w:rPr>
          <w:rFonts w:ascii="Arial" w:hAnsi="Arial" w:cs="Arial"/>
          <w:sz w:val="20"/>
          <w:szCs w:val="20"/>
        </w:rPr>
        <w:t>,</w:t>
      </w:r>
      <w:r w:rsidRPr="005C158A">
        <w:rPr>
          <w:rFonts w:ascii="Arial" w:hAnsi="Arial" w:cs="Arial"/>
          <w:sz w:val="20"/>
          <w:szCs w:val="20"/>
        </w:rPr>
        <w:t xml:space="preserve"> co wymaga zmian w ustawach: Kodeks cywilny</w:t>
      </w:r>
      <w:r w:rsidR="007C2869" w:rsidRPr="005C158A">
        <w:rPr>
          <w:rFonts w:ascii="Arial" w:hAnsi="Arial" w:cs="Arial"/>
          <w:sz w:val="20"/>
          <w:szCs w:val="20"/>
        </w:rPr>
        <w:t xml:space="preserve"> (dalej: </w:t>
      </w:r>
      <w:proofErr w:type="spellStart"/>
      <w:r w:rsidR="007C2869" w:rsidRPr="005C158A">
        <w:rPr>
          <w:rFonts w:ascii="Arial" w:hAnsi="Arial" w:cs="Arial"/>
          <w:sz w:val="20"/>
          <w:szCs w:val="20"/>
        </w:rPr>
        <w:t>Kc</w:t>
      </w:r>
      <w:proofErr w:type="spellEnd"/>
      <w:r w:rsidR="007C2869" w:rsidRPr="005C158A">
        <w:rPr>
          <w:rFonts w:ascii="Arial" w:hAnsi="Arial" w:cs="Arial"/>
          <w:sz w:val="20"/>
          <w:szCs w:val="20"/>
        </w:rPr>
        <w:t>)</w:t>
      </w:r>
      <w:r w:rsidRPr="005C158A">
        <w:rPr>
          <w:rFonts w:ascii="Arial" w:hAnsi="Arial" w:cs="Arial"/>
          <w:sz w:val="20"/>
          <w:szCs w:val="20"/>
        </w:rPr>
        <w:t>, Kodeks postępowania cywilnego, Prawo przedsiębiorców oraz</w:t>
      </w:r>
      <w:r w:rsidR="002D53ED" w:rsidRPr="005C158A">
        <w:rPr>
          <w:rFonts w:ascii="Arial" w:hAnsi="Arial" w:cs="Arial"/>
          <w:sz w:val="20"/>
          <w:szCs w:val="20"/>
        </w:rPr>
        <w:t xml:space="preserve"> </w:t>
      </w:r>
      <w:r w:rsidRPr="005C158A">
        <w:rPr>
          <w:rFonts w:ascii="Arial" w:hAnsi="Arial" w:cs="Arial"/>
          <w:sz w:val="20"/>
          <w:szCs w:val="20"/>
        </w:rPr>
        <w:t>o Centralnej Ewidencji i Informacji Działalności Gospodarczej i</w:t>
      </w:r>
      <w:r w:rsidR="002D53ED" w:rsidRPr="005C158A">
        <w:rPr>
          <w:rFonts w:ascii="Arial" w:hAnsi="Arial" w:cs="Arial"/>
          <w:sz w:val="20"/>
          <w:szCs w:val="20"/>
        </w:rPr>
        <w:t xml:space="preserve"> </w:t>
      </w:r>
      <w:r w:rsidRPr="005C158A">
        <w:rPr>
          <w:rFonts w:ascii="Arial" w:hAnsi="Arial" w:cs="Arial"/>
          <w:sz w:val="20"/>
          <w:szCs w:val="20"/>
        </w:rPr>
        <w:t xml:space="preserve">Punkcie Informacji dla Przedsiębiorcy. </w:t>
      </w:r>
    </w:p>
    <w:p w14:paraId="4BC0A90B" w14:textId="079084AE" w:rsidR="004E56AD" w:rsidRPr="005C158A" w:rsidRDefault="004E56AD" w:rsidP="00401710">
      <w:pPr>
        <w:spacing w:before="120" w:after="120" w:line="360" w:lineRule="auto"/>
        <w:jc w:val="both"/>
        <w:rPr>
          <w:rFonts w:ascii="Arial" w:hAnsi="Arial" w:cs="Arial"/>
          <w:sz w:val="20"/>
          <w:szCs w:val="20"/>
        </w:rPr>
      </w:pPr>
      <w:r w:rsidRPr="005C158A">
        <w:rPr>
          <w:rFonts w:ascii="Arial" w:hAnsi="Arial" w:cs="Arial"/>
          <w:sz w:val="20"/>
          <w:szCs w:val="20"/>
        </w:rPr>
        <w:t>Co do zasady dopuszcza się możliwość wykonywania działalności gospodarczej przez osoby</w:t>
      </w:r>
      <w:r w:rsidR="009A1EDE" w:rsidRPr="005C158A">
        <w:rPr>
          <w:rFonts w:ascii="Arial" w:hAnsi="Arial" w:cs="Arial"/>
          <w:sz w:val="20"/>
          <w:szCs w:val="20"/>
        </w:rPr>
        <w:t xml:space="preserve"> </w:t>
      </w:r>
      <w:r w:rsidRPr="005C158A">
        <w:rPr>
          <w:rFonts w:ascii="Arial" w:hAnsi="Arial" w:cs="Arial"/>
          <w:sz w:val="20"/>
          <w:szCs w:val="20"/>
        </w:rPr>
        <w:t>nieposiadające zdolności do czynności prawnych albo posiadające ograniczoną zdolność do czynności prawnych. W takich przypadkach działalność gospodarcza jest prowadzona w imieniu małoletniego, lecz przy pomocy innych osób: przedstawicieli ustawowych, pełnomocników itp. W</w:t>
      </w:r>
      <w:r w:rsidR="00295358" w:rsidRPr="005C158A">
        <w:rPr>
          <w:rFonts w:ascii="Arial" w:hAnsi="Arial" w:cs="Arial"/>
          <w:sz w:val="20"/>
          <w:szCs w:val="20"/>
        </w:rPr>
        <w:t> </w:t>
      </w:r>
      <w:r w:rsidRPr="005C158A">
        <w:rPr>
          <w:rFonts w:ascii="Arial" w:hAnsi="Arial" w:cs="Arial"/>
          <w:sz w:val="20"/>
          <w:szCs w:val="20"/>
        </w:rPr>
        <w:t>doktrynie za dopuszczeniem małoletnich do prowadzenia działalności gospodarczej, przy zastosowaniu dostępnych w prawie instytucji reprezentacji, opowiedzieli się m.in. S. Wróblewski, M.</w:t>
      </w:r>
      <w:r w:rsidR="00295358" w:rsidRPr="005C158A">
        <w:rPr>
          <w:rFonts w:ascii="Arial" w:hAnsi="Arial" w:cs="Arial"/>
          <w:sz w:val="20"/>
          <w:szCs w:val="20"/>
        </w:rPr>
        <w:t> </w:t>
      </w:r>
      <w:proofErr w:type="spellStart"/>
      <w:r w:rsidRPr="005C158A">
        <w:rPr>
          <w:rFonts w:ascii="Arial" w:hAnsi="Arial" w:cs="Arial"/>
          <w:sz w:val="20"/>
          <w:szCs w:val="20"/>
        </w:rPr>
        <w:t>Allerhand</w:t>
      </w:r>
      <w:proofErr w:type="spellEnd"/>
      <w:r w:rsidRPr="005C158A">
        <w:rPr>
          <w:rFonts w:ascii="Arial" w:hAnsi="Arial" w:cs="Arial"/>
          <w:sz w:val="20"/>
          <w:szCs w:val="20"/>
        </w:rPr>
        <w:t xml:space="preserve">, S. Janczewski, W.J. </w:t>
      </w:r>
      <w:proofErr w:type="spellStart"/>
      <w:r w:rsidRPr="005C158A">
        <w:rPr>
          <w:rFonts w:ascii="Arial" w:hAnsi="Arial" w:cs="Arial"/>
          <w:sz w:val="20"/>
          <w:szCs w:val="20"/>
        </w:rPr>
        <w:t>Katner</w:t>
      </w:r>
      <w:proofErr w:type="spellEnd"/>
      <w:r w:rsidRPr="005C158A">
        <w:rPr>
          <w:rFonts w:ascii="Arial" w:hAnsi="Arial" w:cs="Arial"/>
          <w:sz w:val="20"/>
          <w:szCs w:val="20"/>
        </w:rPr>
        <w:t xml:space="preserve">, A. </w:t>
      </w:r>
      <w:proofErr w:type="spellStart"/>
      <w:r w:rsidRPr="005C158A">
        <w:rPr>
          <w:rFonts w:ascii="Arial" w:hAnsi="Arial" w:cs="Arial"/>
          <w:sz w:val="20"/>
          <w:szCs w:val="20"/>
        </w:rPr>
        <w:t>Bierć</w:t>
      </w:r>
      <w:proofErr w:type="spellEnd"/>
      <w:r w:rsidRPr="005C158A">
        <w:rPr>
          <w:rFonts w:ascii="Arial" w:hAnsi="Arial" w:cs="Arial"/>
          <w:sz w:val="20"/>
          <w:szCs w:val="20"/>
        </w:rPr>
        <w:t xml:space="preserve"> i M. Szydło</w:t>
      </w:r>
      <w:r w:rsidRPr="005C158A">
        <w:rPr>
          <w:rFonts w:ascii="Arial" w:hAnsi="Arial" w:cs="Arial"/>
          <w:sz w:val="20"/>
          <w:szCs w:val="20"/>
          <w:vertAlign w:val="superscript"/>
        </w:rPr>
        <w:footnoteReference w:id="1"/>
      </w:r>
      <w:r w:rsidRPr="005C158A">
        <w:rPr>
          <w:rFonts w:ascii="Arial" w:hAnsi="Arial" w:cs="Arial"/>
          <w:sz w:val="20"/>
          <w:szCs w:val="20"/>
        </w:rPr>
        <w:t>. Przeciwny pogląd wyraził C.</w:t>
      </w:r>
      <w:r w:rsidR="00295358" w:rsidRPr="005C158A">
        <w:rPr>
          <w:rFonts w:ascii="Arial" w:hAnsi="Arial" w:cs="Arial"/>
          <w:sz w:val="20"/>
          <w:szCs w:val="20"/>
        </w:rPr>
        <w:t> </w:t>
      </w:r>
      <w:r w:rsidRPr="005C158A">
        <w:rPr>
          <w:rFonts w:ascii="Arial" w:hAnsi="Arial" w:cs="Arial"/>
          <w:sz w:val="20"/>
          <w:szCs w:val="20"/>
        </w:rPr>
        <w:t>Kosikowski</w:t>
      </w:r>
      <w:r w:rsidRPr="005C158A">
        <w:rPr>
          <w:rFonts w:ascii="Arial" w:hAnsi="Arial" w:cs="Arial"/>
          <w:sz w:val="20"/>
          <w:szCs w:val="20"/>
          <w:vertAlign w:val="superscript"/>
        </w:rPr>
        <w:footnoteReference w:id="2"/>
      </w:r>
      <w:r w:rsidRPr="005C158A">
        <w:rPr>
          <w:rFonts w:ascii="Arial" w:hAnsi="Arial" w:cs="Arial"/>
          <w:sz w:val="20"/>
          <w:szCs w:val="20"/>
          <w:vertAlign w:val="superscript"/>
        </w:rPr>
        <w:t xml:space="preserve"> </w:t>
      </w:r>
      <w:r w:rsidRPr="005C158A">
        <w:rPr>
          <w:rFonts w:ascii="Arial" w:hAnsi="Arial" w:cs="Arial"/>
          <w:sz w:val="20"/>
          <w:szCs w:val="20"/>
        </w:rPr>
        <w:t>wskazując, że działalność gospodarczą powinna wykonywać wyłącznie osoba posiadająca pełną zdolność do czynności prawnych. Szczegółowy przegląd poglądów doktryny w tym zakresie zaprezentowali P. Zaporowski</w:t>
      </w:r>
      <w:r w:rsidRPr="005C158A">
        <w:rPr>
          <w:rFonts w:ascii="Arial" w:hAnsi="Arial" w:cs="Arial"/>
          <w:sz w:val="20"/>
          <w:szCs w:val="20"/>
          <w:vertAlign w:val="superscript"/>
        </w:rPr>
        <w:footnoteReference w:id="3"/>
      </w:r>
      <w:r w:rsidRPr="005C158A">
        <w:rPr>
          <w:rFonts w:ascii="Arial" w:hAnsi="Arial" w:cs="Arial"/>
          <w:sz w:val="20"/>
          <w:szCs w:val="20"/>
          <w:vertAlign w:val="superscript"/>
        </w:rPr>
        <w:t xml:space="preserve"> </w:t>
      </w:r>
      <w:r w:rsidRPr="005C158A">
        <w:rPr>
          <w:rFonts w:ascii="Arial" w:hAnsi="Arial" w:cs="Arial"/>
          <w:sz w:val="20"/>
          <w:szCs w:val="20"/>
        </w:rPr>
        <w:t>i P. Lewandowski</w:t>
      </w:r>
      <w:r w:rsidRPr="005C158A">
        <w:rPr>
          <w:rFonts w:ascii="Arial" w:hAnsi="Arial" w:cs="Arial"/>
          <w:sz w:val="20"/>
          <w:szCs w:val="20"/>
          <w:vertAlign w:val="superscript"/>
        </w:rPr>
        <w:footnoteReference w:id="4"/>
      </w:r>
      <w:r w:rsidRPr="005C158A">
        <w:rPr>
          <w:rFonts w:ascii="Arial" w:hAnsi="Arial" w:cs="Arial"/>
          <w:sz w:val="20"/>
          <w:szCs w:val="20"/>
        </w:rPr>
        <w:t>. Obaj opowiedzieli się także za możliwością wykonywania działalności gospodarczej przez</w:t>
      </w:r>
      <w:r w:rsidR="00F80385" w:rsidRPr="005C158A">
        <w:rPr>
          <w:rFonts w:ascii="Arial" w:hAnsi="Arial" w:cs="Arial"/>
          <w:sz w:val="20"/>
          <w:szCs w:val="20"/>
        </w:rPr>
        <w:t xml:space="preserve"> osoby</w:t>
      </w:r>
      <w:r w:rsidRPr="005C158A">
        <w:rPr>
          <w:rFonts w:ascii="Arial" w:hAnsi="Arial" w:cs="Arial"/>
          <w:sz w:val="20"/>
          <w:szCs w:val="20"/>
        </w:rPr>
        <w:t xml:space="preserve"> małoletnie albo z innych względów niż wiek nieposiadające pełnej zdolności do czynności prawnych. </w:t>
      </w:r>
    </w:p>
    <w:p w14:paraId="65D452DD" w14:textId="753BCB31" w:rsidR="002D53ED" w:rsidRPr="005C158A" w:rsidRDefault="004E56A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Zbyt rygorystyczne wydaje się przy tym wymóg, aby czynności prawne w zakresie działalności gospodarczej osoby posiadające </w:t>
      </w:r>
      <w:r w:rsidR="009C049C" w:rsidRPr="005C158A">
        <w:rPr>
          <w:rFonts w:ascii="Arial" w:hAnsi="Arial" w:cs="Arial"/>
          <w:sz w:val="20"/>
          <w:szCs w:val="20"/>
        </w:rPr>
        <w:t xml:space="preserve">ograniczoną </w:t>
      </w:r>
      <w:r w:rsidRPr="005C158A">
        <w:rPr>
          <w:rFonts w:ascii="Arial" w:hAnsi="Arial" w:cs="Arial"/>
          <w:sz w:val="20"/>
          <w:szCs w:val="20"/>
        </w:rPr>
        <w:t>zdolności do czynności prawnych musiały w każdym przypadku dokonywać za pośrednictwem albo zgodą przedstawiciela</w:t>
      </w:r>
      <w:r w:rsidR="002D53ED" w:rsidRPr="005C158A">
        <w:rPr>
          <w:rFonts w:ascii="Arial" w:hAnsi="Arial" w:cs="Arial"/>
          <w:sz w:val="20"/>
          <w:szCs w:val="20"/>
        </w:rPr>
        <w:t xml:space="preserve"> – zaburza to bowiem płynność i</w:t>
      </w:r>
      <w:r w:rsidR="00295358" w:rsidRPr="005C158A">
        <w:rPr>
          <w:rFonts w:ascii="Arial" w:hAnsi="Arial" w:cs="Arial"/>
          <w:sz w:val="20"/>
          <w:szCs w:val="20"/>
        </w:rPr>
        <w:t> </w:t>
      </w:r>
      <w:r w:rsidR="002D53ED" w:rsidRPr="005C158A">
        <w:rPr>
          <w:rFonts w:ascii="Arial" w:hAnsi="Arial" w:cs="Arial"/>
          <w:sz w:val="20"/>
          <w:szCs w:val="20"/>
        </w:rPr>
        <w:t>przejrzystość prowadzonego biznesu,</w:t>
      </w:r>
      <w:r w:rsidRPr="005C158A">
        <w:rPr>
          <w:rFonts w:ascii="Arial" w:hAnsi="Arial" w:cs="Arial"/>
          <w:sz w:val="20"/>
          <w:szCs w:val="20"/>
        </w:rPr>
        <w:t> </w:t>
      </w:r>
      <w:r w:rsidR="002D53ED" w:rsidRPr="005C158A">
        <w:rPr>
          <w:rFonts w:ascii="Arial" w:hAnsi="Arial" w:cs="Arial"/>
          <w:sz w:val="20"/>
          <w:szCs w:val="20"/>
        </w:rPr>
        <w:t xml:space="preserve">w </w:t>
      </w:r>
      <w:r w:rsidRPr="005C158A">
        <w:rPr>
          <w:rFonts w:ascii="Arial" w:hAnsi="Arial" w:cs="Arial"/>
          <w:sz w:val="20"/>
          <w:szCs w:val="20"/>
        </w:rPr>
        <w:t>szczególności gdy działalność gospodarcza dotyczy osobistych aktywności</w:t>
      </w:r>
      <w:r w:rsidR="009C049C" w:rsidRPr="005C158A">
        <w:rPr>
          <w:rFonts w:ascii="Arial" w:hAnsi="Arial" w:cs="Arial"/>
          <w:sz w:val="20"/>
          <w:szCs w:val="20"/>
        </w:rPr>
        <w:t xml:space="preserve"> tych osób</w:t>
      </w:r>
      <w:r w:rsidRPr="005C158A">
        <w:rPr>
          <w:rFonts w:ascii="Arial" w:hAnsi="Arial" w:cs="Arial"/>
          <w:sz w:val="20"/>
          <w:szCs w:val="20"/>
        </w:rPr>
        <w:t>, np. działalności sportowej i artystycznej.</w:t>
      </w:r>
    </w:p>
    <w:p w14:paraId="3921E0A4" w14:textId="11EF0998" w:rsidR="004E56AD" w:rsidRPr="005C158A" w:rsidRDefault="002D53E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 drugiej strony, znane są przypadki prób </w:t>
      </w:r>
      <w:r w:rsidR="00FE1A7B" w:rsidRPr="005C158A">
        <w:rPr>
          <w:rFonts w:ascii="Arial" w:hAnsi="Arial" w:cs="Arial"/>
          <w:sz w:val="20"/>
          <w:szCs w:val="20"/>
        </w:rPr>
        <w:t xml:space="preserve">fikcyjnego rejestrowania firm na osoby </w:t>
      </w:r>
      <w:r w:rsidR="009C049C" w:rsidRPr="005C158A">
        <w:rPr>
          <w:rFonts w:ascii="Arial" w:hAnsi="Arial" w:cs="Arial"/>
          <w:sz w:val="20"/>
          <w:szCs w:val="20"/>
        </w:rPr>
        <w:t xml:space="preserve">nieposiadające pełnej zdolności do czynności prawnych </w:t>
      </w:r>
      <w:r w:rsidR="00FE1A7B" w:rsidRPr="005C158A">
        <w:rPr>
          <w:rFonts w:ascii="Arial" w:hAnsi="Arial" w:cs="Arial"/>
          <w:sz w:val="20"/>
          <w:szCs w:val="20"/>
        </w:rPr>
        <w:t xml:space="preserve">(często przez ich rodziców) w celu ominięcia przepisów. Stanowią one patologię życia społecznego, którą należy jednoznacznie wyeliminować. </w:t>
      </w:r>
      <w:r w:rsidR="004E56AD" w:rsidRPr="005C158A">
        <w:rPr>
          <w:rFonts w:ascii="Arial" w:hAnsi="Arial" w:cs="Arial"/>
          <w:sz w:val="20"/>
          <w:szCs w:val="20"/>
        </w:rPr>
        <w:t xml:space="preserve"> </w:t>
      </w:r>
    </w:p>
    <w:p w14:paraId="63B3BEA8" w14:textId="3C827559" w:rsidR="004E56AD" w:rsidRPr="005C158A" w:rsidRDefault="00FE1A7B" w:rsidP="00401710">
      <w:pPr>
        <w:spacing w:before="120" w:after="120" w:line="360" w:lineRule="auto"/>
        <w:jc w:val="both"/>
        <w:rPr>
          <w:rFonts w:ascii="Arial" w:hAnsi="Arial" w:cs="Arial"/>
          <w:sz w:val="20"/>
          <w:szCs w:val="20"/>
        </w:rPr>
      </w:pPr>
      <w:r w:rsidRPr="005C158A">
        <w:rPr>
          <w:rFonts w:ascii="Arial" w:hAnsi="Arial" w:cs="Arial"/>
          <w:sz w:val="20"/>
          <w:szCs w:val="20"/>
        </w:rPr>
        <w:lastRenderedPageBreak/>
        <w:t>Z tego powodu p</w:t>
      </w:r>
      <w:r w:rsidR="004E56AD" w:rsidRPr="005C158A">
        <w:rPr>
          <w:rFonts w:ascii="Arial" w:hAnsi="Arial" w:cs="Arial"/>
          <w:sz w:val="20"/>
          <w:szCs w:val="20"/>
        </w:rPr>
        <w:t xml:space="preserve">roponuje się </w:t>
      </w:r>
      <w:r w:rsidRPr="005C158A">
        <w:rPr>
          <w:rFonts w:ascii="Arial" w:hAnsi="Arial" w:cs="Arial"/>
          <w:sz w:val="20"/>
          <w:szCs w:val="20"/>
        </w:rPr>
        <w:t>jasne</w:t>
      </w:r>
      <w:r w:rsidR="004E56AD" w:rsidRPr="005C158A">
        <w:rPr>
          <w:rFonts w:ascii="Arial" w:hAnsi="Arial" w:cs="Arial"/>
          <w:sz w:val="20"/>
          <w:szCs w:val="20"/>
        </w:rPr>
        <w:t xml:space="preserve"> uregulowanie reguł rozpoczynania i wykonywania działalności gospodarczej przez osoby </w:t>
      </w:r>
      <w:r w:rsidR="009C049C" w:rsidRPr="005C158A">
        <w:rPr>
          <w:rFonts w:ascii="Arial" w:hAnsi="Arial" w:cs="Arial"/>
          <w:sz w:val="20"/>
          <w:szCs w:val="20"/>
        </w:rPr>
        <w:t xml:space="preserve">posiadające ograniczoną zdolność do czynności prawych </w:t>
      </w:r>
      <w:r w:rsidR="004E56AD" w:rsidRPr="005C158A">
        <w:rPr>
          <w:rFonts w:ascii="Arial" w:hAnsi="Arial" w:cs="Arial"/>
          <w:sz w:val="20"/>
          <w:szCs w:val="20"/>
        </w:rPr>
        <w:t>poprzez wprowadzenie wymogu uzyskania zezwolenia sądu opiekuńczego na</w:t>
      </w:r>
      <w:r w:rsidRPr="005C158A">
        <w:rPr>
          <w:rFonts w:ascii="Arial" w:hAnsi="Arial" w:cs="Arial"/>
          <w:sz w:val="20"/>
          <w:szCs w:val="20"/>
        </w:rPr>
        <w:t xml:space="preserve"> </w:t>
      </w:r>
      <w:r w:rsidR="004E56AD" w:rsidRPr="005C158A">
        <w:rPr>
          <w:rFonts w:ascii="Arial" w:hAnsi="Arial" w:cs="Arial"/>
          <w:sz w:val="20"/>
          <w:szCs w:val="20"/>
        </w:rPr>
        <w:t xml:space="preserve">podjęcie lub wykonywanie działalności gospodarczej osobiście albo przez przedstawiciela, umożliwienie dokonywania czynności prawnych w ramach działalności gospodarczej przez </w:t>
      </w:r>
      <w:r w:rsidR="009C049C" w:rsidRPr="005C158A">
        <w:rPr>
          <w:rFonts w:ascii="Arial" w:hAnsi="Arial" w:cs="Arial"/>
          <w:sz w:val="20"/>
          <w:szCs w:val="20"/>
        </w:rPr>
        <w:t xml:space="preserve">te </w:t>
      </w:r>
      <w:r w:rsidR="004E56AD" w:rsidRPr="005C158A">
        <w:rPr>
          <w:rFonts w:ascii="Arial" w:hAnsi="Arial" w:cs="Arial"/>
          <w:sz w:val="20"/>
          <w:szCs w:val="20"/>
        </w:rPr>
        <w:t>osoby oraz ujawniania we wpisie przedsiębiorcy w Centralnej Ewidencji i Informacji o Działalności Gospodarczej informacji o</w:t>
      </w:r>
      <w:r w:rsidR="00295358" w:rsidRPr="005C158A">
        <w:rPr>
          <w:rFonts w:ascii="Arial" w:hAnsi="Arial" w:cs="Arial"/>
          <w:sz w:val="20"/>
          <w:szCs w:val="20"/>
        </w:rPr>
        <w:t> </w:t>
      </w:r>
      <w:r w:rsidR="009C049C" w:rsidRPr="005C158A">
        <w:rPr>
          <w:rFonts w:ascii="Arial" w:hAnsi="Arial" w:cs="Arial"/>
          <w:sz w:val="20"/>
          <w:szCs w:val="20"/>
        </w:rPr>
        <w:t>ograniczonej zdolności do czynności prawnych</w:t>
      </w:r>
      <w:r w:rsidR="004E56AD" w:rsidRPr="005C158A">
        <w:rPr>
          <w:rFonts w:ascii="Arial" w:hAnsi="Arial" w:cs="Arial"/>
          <w:sz w:val="20"/>
          <w:szCs w:val="20"/>
        </w:rPr>
        <w:t xml:space="preserve"> przedsiębiorcy oraz postanowieniach sądu opiekuńczego o zezwoleniu, zakazie albo ograniczeniu małoletniemu działalności gospodarczej. Regulacja </w:t>
      </w:r>
      <w:r w:rsidR="009C049C" w:rsidRPr="005C158A">
        <w:rPr>
          <w:rFonts w:ascii="Arial" w:hAnsi="Arial" w:cs="Arial"/>
          <w:sz w:val="20"/>
          <w:szCs w:val="20"/>
        </w:rPr>
        <w:t xml:space="preserve">nie </w:t>
      </w:r>
      <w:r w:rsidR="004E56AD" w:rsidRPr="005C158A">
        <w:rPr>
          <w:rFonts w:ascii="Arial" w:hAnsi="Arial" w:cs="Arial"/>
          <w:sz w:val="20"/>
          <w:szCs w:val="20"/>
        </w:rPr>
        <w:t xml:space="preserve">odnosi się do </w:t>
      </w:r>
      <w:r w:rsidR="009C049C" w:rsidRPr="005C158A">
        <w:rPr>
          <w:rFonts w:ascii="Arial" w:hAnsi="Arial" w:cs="Arial"/>
          <w:sz w:val="20"/>
          <w:szCs w:val="20"/>
        </w:rPr>
        <w:t>osób, które nabyły</w:t>
      </w:r>
      <w:r w:rsidR="004E56AD" w:rsidRPr="005C158A">
        <w:rPr>
          <w:rFonts w:ascii="Arial" w:hAnsi="Arial" w:cs="Arial"/>
          <w:sz w:val="20"/>
          <w:szCs w:val="20"/>
        </w:rPr>
        <w:t xml:space="preserve"> przedsiębiorstwo w wyniku dziedziczenia (zapisu windykacyjnego) albo sta</w:t>
      </w:r>
      <w:r w:rsidR="009C049C" w:rsidRPr="005C158A">
        <w:rPr>
          <w:rFonts w:ascii="Arial" w:hAnsi="Arial" w:cs="Arial"/>
          <w:sz w:val="20"/>
          <w:szCs w:val="20"/>
        </w:rPr>
        <w:t>ły</w:t>
      </w:r>
      <w:r w:rsidR="004E56AD" w:rsidRPr="005C158A">
        <w:rPr>
          <w:rFonts w:ascii="Arial" w:hAnsi="Arial" w:cs="Arial"/>
          <w:sz w:val="20"/>
          <w:szCs w:val="20"/>
        </w:rPr>
        <w:t xml:space="preserve"> się wspólnikami spółki cywilnej jako spadkobiercy wchodzący do spółki w</w:t>
      </w:r>
      <w:r w:rsidR="00295358" w:rsidRPr="005C158A">
        <w:rPr>
          <w:rFonts w:ascii="Arial" w:hAnsi="Arial" w:cs="Arial"/>
          <w:sz w:val="20"/>
          <w:szCs w:val="20"/>
        </w:rPr>
        <w:t> </w:t>
      </w:r>
      <w:r w:rsidR="004E56AD" w:rsidRPr="005C158A">
        <w:rPr>
          <w:rFonts w:ascii="Arial" w:hAnsi="Arial" w:cs="Arial"/>
          <w:sz w:val="20"/>
          <w:szCs w:val="20"/>
        </w:rPr>
        <w:t>miejsce zmarłego wspólnika</w:t>
      </w:r>
      <w:r w:rsidR="009C049C" w:rsidRPr="005C158A">
        <w:rPr>
          <w:rFonts w:ascii="Arial" w:hAnsi="Arial" w:cs="Arial"/>
          <w:sz w:val="20"/>
          <w:szCs w:val="20"/>
        </w:rPr>
        <w:t>.</w:t>
      </w:r>
    </w:p>
    <w:p w14:paraId="0AA31EC0" w14:textId="3DB6D160" w:rsidR="004E56AD" w:rsidRPr="005C158A" w:rsidRDefault="009C049C"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w:t>
      </w:r>
      <w:proofErr w:type="spellStart"/>
      <w:r w:rsidRPr="005C158A">
        <w:rPr>
          <w:rFonts w:ascii="Arial" w:hAnsi="Arial" w:cs="Arial"/>
          <w:sz w:val="20"/>
          <w:szCs w:val="20"/>
        </w:rPr>
        <w:t>Kc</w:t>
      </w:r>
      <w:proofErr w:type="spellEnd"/>
      <w:r w:rsidR="004E56AD" w:rsidRPr="005C158A">
        <w:rPr>
          <w:rFonts w:ascii="Arial" w:hAnsi="Arial" w:cs="Arial"/>
          <w:sz w:val="20"/>
          <w:szCs w:val="20"/>
        </w:rPr>
        <w:t xml:space="preserve"> </w:t>
      </w:r>
      <w:r w:rsidRPr="005C158A">
        <w:rPr>
          <w:rFonts w:ascii="Arial" w:hAnsi="Arial" w:cs="Arial"/>
          <w:sz w:val="20"/>
          <w:szCs w:val="20"/>
        </w:rPr>
        <w:t xml:space="preserve">w </w:t>
      </w:r>
      <w:r w:rsidR="004E56AD" w:rsidRPr="005C158A">
        <w:rPr>
          <w:rFonts w:ascii="Arial" w:hAnsi="Arial" w:cs="Arial"/>
          <w:sz w:val="20"/>
          <w:szCs w:val="20"/>
        </w:rPr>
        <w:t xml:space="preserve">przypadku przedsiębiorcy, który ma </w:t>
      </w:r>
      <w:bookmarkStart w:id="18" w:name="_Hlk137795626"/>
      <w:r w:rsidR="004E56AD" w:rsidRPr="005C158A">
        <w:rPr>
          <w:rFonts w:ascii="Arial" w:hAnsi="Arial" w:cs="Arial"/>
          <w:sz w:val="20"/>
          <w:szCs w:val="20"/>
        </w:rPr>
        <w:t xml:space="preserve">ograniczoną </w:t>
      </w:r>
      <w:r w:rsidR="00495A7E" w:rsidRPr="005C158A">
        <w:rPr>
          <w:rFonts w:ascii="Arial" w:hAnsi="Arial" w:cs="Arial"/>
          <w:sz w:val="20"/>
          <w:szCs w:val="20"/>
        </w:rPr>
        <w:t xml:space="preserve">zdolność </w:t>
      </w:r>
      <w:r w:rsidR="004E56AD" w:rsidRPr="005C158A">
        <w:rPr>
          <w:rFonts w:ascii="Arial" w:hAnsi="Arial" w:cs="Arial"/>
          <w:sz w:val="20"/>
          <w:szCs w:val="20"/>
        </w:rPr>
        <w:t>do czynności prawnych</w:t>
      </w:r>
      <w:bookmarkEnd w:id="18"/>
      <w:r w:rsidR="004E56AD" w:rsidRPr="005C158A">
        <w:rPr>
          <w:rFonts w:ascii="Arial" w:hAnsi="Arial" w:cs="Arial"/>
          <w:sz w:val="20"/>
          <w:szCs w:val="20"/>
        </w:rPr>
        <w:t xml:space="preserve">, proponuje się umożliwić dokonanie czynności prawnych dotyczących </w:t>
      </w:r>
      <w:bookmarkStart w:id="19" w:name="_Hlk118794047"/>
      <w:r w:rsidR="004E56AD" w:rsidRPr="005C158A">
        <w:rPr>
          <w:rFonts w:ascii="Arial" w:hAnsi="Arial" w:cs="Arial"/>
          <w:sz w:val="20"/>
          <w:szCs w:val="20"/>
        </w:rPr>
        <w:t xml:space="preserve">działalności gospodarczej </w:t>
      </w:r>
      <w:bookmarkEnd w:id="19"/>
      <w:r w:rsidR="004E56AD" w:rsidRPr="005C158A">
        <w:rPr>
          <w:rFonts w:ascii="Arial" w:hAnsi="Arial" w:cs="Arial"/>
          <w:sz w:val="20"/>
          <w:szCs w:val="20"/>
        </w:rPr>
        <w:t xml:space="preserve">bez zgody przedstawiciela ustawowego, o ile </w:t>
      </w:r>
      <w:r w:rsidRPr="005C158A">
        <w:rPr>
          <w:rFonts w:ascii="Arial" w:hAnsi="Arial" w:cs="Arial"/>
          <w:sz w:val="20"/>
          <w:szCs w:val="20"/>
        </w:rPr>
        <w:t xml:space="preserve">przedsiębiorca </w:t>
      </w:r>
      <w:r w:rsidR="004E56AD" w:rsidRPr="005C158A">
        <w:rPr>
          <w:rFonts w:ascii="Arial" w:hAnsi="Arial" w:cs="Arial"/>
          <w:sz w:val="20"/>
          <w:szCs w:val="20"/>
        </w:rPr>
        <w:t xml:space="preserve">posiada zezwolenie sądu opiekuńczego na wykonywanie </w:t>
      </w:r>
      <w:r w:rsidRPr="005C158A">
        <w:rPr>
          <w:rFonts w:ascii="Arial" w:hAnsi="Arial" w:cs="Arial"/>
          <w:sz w:val="20"/>
          <w:szCs w:val="20"/>
        </w:rPr>
        <w:t xml:space="preserve">tych czynności </w:t>
      </w:r>
      <w:r w:rsidR="004E56AD" w:rsidRPr="005C158A">
        <w:rPr>
          <w:rFonts w:ascii="Arial" w:hAnsi="Arial" w:cs="Arial"/>
          <w:sz w:val="20"/>
          <w:szCs w:val="20"/>
        </w:rPr>
        <w:t xml:space="preserve">osobiście. </w:t>
      </w:r>
    </w:p>
    <w:p w14:paraId="2EDF5FD4" w14:textId="59CC4EA9" w:rsidR="004E56AD" w:rsidRPr="005C158A" w:rsidRDefault="004E56AD" w:rsidP="00401710">
      <w:pPr>
        <w:spacing w:before="120" w:after="120" w:line="360" w:lineRule="auto"/>
        <w:jc w:val="both"/>
        <w:rPr>
          <w:rFonts w:ascii="Arial" w:hAnsi="Arial" w:cs="Arial"/>
          <w:sz w:val="20"/>
          <w:szCs w:val="20"/>
        </w:rPr>
      </w:pPr>
      <w:r w:rsidRPr="005C158A">
        <w:rPr>
          <w:rFonts w:ascii="Arial" w:hAnsi="Arial" w:cs="Arial"/>
          <w:sz w:val="20"/>
          <w:szCs w:val="20"/>
        </w:rPr>
        <w:t>Sąd opiekuńczy uzyska jednocześnie kompetencję do zakazania albo ograniczenia działalności gospodarczej</w:t>
      </w:r>
      <w:r w:rsidR="00267DAA" w:rsidRPr="005C158A">
        <w:rPr>
          <w:rFonts w:ascii="Arial" w:hAnsi="Arial" w:cs="Arial"/>
          <w:sz w:val="20"/>
          <w:szCs w:val="20"/>
        </w:rPr>
        <w:t xml:space="preserve"> </w:t>
      </w:r>
      <w:r w:rsidR="009C049C" w:rsidRPr="005C158A">
        <w:rPr>
          <w:rFonts w:ascii="Arial" w:hAnsi="Arial" w:cs="Arial"/>
          <w:sz w:val="20"/>
          <w:szCs w:val="20"/>
        </w:rPr>
        <w:t>takiemu przedsiębiorcy</w:t>
      </w:r>
      <w:r w:rsidRPr="005C158A">
        <w:rPr>
          <w:rFonts w:ascii="Arial" w:hAnsi="Arial" w:cs="Arial"/>
          <w:sz w:val="20"/>
          <w:szCs w:val="20"/>
        </w:rPr>
        <w:t xml:space="preserve">, gdy działalność ta sprzeciwia się dobru </w:t>
      </w:r>
      <w:r w:rsidR="00267DAA" w:rsidRPr="005C158A">
        <w:rPr>
          <w:rFonts w:ascii="Arial" w:hAnsi="Arial" w:cs="Arial"/>
          <w:sz w:val="20"/>
          <w:szCs w:val="20"/>
        </w:rPr>
        <w:t>tej osoby, bezpieczeństwu obrotu oraz prawom konsumenta</w:t>
      </w:r>
      <w:r w:rsidRPr="005C158A">
        <w:rPr>
          <w:rFonts w:ascii="Arial" w:hAnsi="Arial" w:cs="Arial"/>
          <w:sz w:val="20"/>
          <w:szCs w:val="20"/>
        </w:rPr>
        <w:t>.</w:t>
      </w:r>
      <w:bookmarkStart w:id="20" w:name="mip64131641"/>
      <w:bookmarkEnd w:id="20"/>
    </w:p>
    <w:p w14:paraId="7A833EE1" w14:textId="71953741" w:rsidR="004E56AD" w:rsidRPr="005C158A" w:rsidRDefault="004E56A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dalszej części uzasadnienia omówiono proponowane zmiany w ustawach: Kodeks postępowania cywilnego, Prawo przedsiębiorców oraz  Centralnej Ewidencji i Informacji Działalności Gospodarczej i Punkcie Informacji dla Przedsiębiorcy, które są niezbędne do całościowego uregulowania zasad prowadzenia działalności gospodarczej przez </w:t>
      </w:r>
      <w:r w:rsidR="00620714">
        <w:rPr>
          <w:rFonts w:ascii="Arial" w:hAnsi="Arial" w:cs="Arial"/>
          <w:sz w:val="20"/>
          <w:szCs w:val="20"/>
        </w:rPr>
        <w:t>osoby posiadające</w:t>
      </w:r>
      <w:r w:rsidR="00620714" w:rsidRPr="00620714">
        <w:rPr>
          <w:rFonts w:ascii="Arial" w:hAnsi="Arial" w:cs="Arial"/>
          <w:sz w:val="20"/>
          <w:szCs w:val="20"/>
        </w:rPr>
        <w:t xml:space="preserve"> </w:t>
      </w:r>
      <w:r w:rsidR="00620714" w:rsidRPr="005C158A">
        <w:rPr>
          <w:rFonts w:ascii="Arial" w:hAnsi="Arial" w:cs="Arial"/>
          <w:sz w:val="20"/>
          <w:szCs w:val="20"/>
        </w:rPr>
        <w:t>ograniczoną zdolność do czynności prawnych</w:t>
      </w:r>
      <w:r w:rsidRPr="005C158A">
        <w:rPr>
          <w:rFonts w:ascii="Arial" w:hAnsi="Arial" w:cs="Arial"/>
          <w:sz w:val="20"/>
          <w:szCs w:val="20"/>
        </w:rPr>
        <w:t>.</w:t>
      </w:r>
    </w:p>
    <w:p w14:paraId="31BF04FF" w14:textId="2BAE79D2" w:rsidR="009125C2" w:rsidRPr="005C158A" w:rsidRDefault="009125C2" w:rsidP="00DC6DF4">
      <w:pPr>
        <w:pStyle w:val="Akapitzlist"/>
        <w:numPr>
          <w:ilvl w:val="0"/>
          <w:numId w:val="22"/>
        </w:numPr>
        <w:spacing w:before="120" w:after="120" w:line="360" w:lineRule="auto"/>
        <w:ind w:left="0" w:hanging="11"/>
        <w:jc w:val="both"/>
        <w:rPr>
          <w:rFonts w:ascii="Arial" w:hAnsi="Arial" w:cs="Arial"/>
          <w:sz w:val="20"/>
          <w:szCs w:val="20"/>
        </w:rPr>
      </w:pPr>
      <w:r w:rsidRPr="005C158A">
        <w:rPr>
          <w:rFonts w:ascii="Arial" w:hAnsi="Arial" w:cs="Arial"/>
          <w:sz w:val="20"/>
          <w:szCs w:val="20"/>
        </w:rPr>
        <w:t>Forma dokumentowa leasingu.</w:t>
      </w:r>
    </w:p>
    <w:p w14:paraId="54F2D0ED" w14:textId="10A65772" w:rsidR="009125C2" w:rsidRPr="005C158A" w:rsidRDefault="009125C2" w:rsidP="00C5309B">
      <w:pPr>
        <w:spacing w:before="120" w:after="120" w:line="360" w:lineRule="auto"/>
        <w:jc w:val="both"/>
        <w:rPr>
          <w:rFonts w:ascii="Arial" w:hAnsi="Arial" w:cs="Arial"/>
          <w:sz w:val="20"/>
          <w:szCs w:val="20"/>
        </w:rPr>
      </w:pPr>
      <w:r w:rsidRPr="005C158A">
        <w:rPr>
          <w:rFonts w:ascii="Arial" w:hAnsi="Arial" w:cs="Arial"/>
          <w:sz w:val="20"/>
          <w:szCs w:val="20"/>
        </w:rPr>
        <w:t>Obowiązujący aktualnie przepis art. 709</w:t>
      </w:r>
      <w:r w:rsidRPr="005C158A">
        <w:rPr>
          <w:rFonts w:ascii="Arial" w:hAnsi="Arial" w:cs="Arial"/>
          <w:sz w:val="20"/>
          <w:szCs w:val="20"/>
          <w:vertAlign w:val="superscript"/>
        </w:rPr>
        <w:t>2</w:t>
      </w:r>
      <w:r w:rsidRPr="005C158A">
        <w:rPr>
          <w:rFonts w:ascii="Arial" w:hAnsi="Arial" w:cs="Arial"/>
          <w:sz w:val="20"/>
          <w:szCs w:val="20"/>
        </w:rPr>
        <w:t xml:space="preserve"> </w:t>
      </w:r>
      <w:proofErr w:type="spellStart"/>
      <w:r w:rsidRPr="005C158A">
        <w:rPr>
          <w:rFonts w:ascii="Arial" w:hAnsi="Arial" w:cs="Arial"/>
          <w:sz w:val="20"/>
          <w:szCs w:val="20"/>
        </w:rPr>
        <w:t>Kc</w:t>
      </w:r>
      <w:proofErr w:type="spellEnd"/>
      <w:r w:rsidRPr="005C158A">
        <w:rPr>
          <w:rFonts w:ascii="Arial" w:hAnsi="Arial" w:cs="Arial"/>
          <w:sz w:val="20"/>
          <w:szCs w:val="20"/>
        </w:rPr>
        <w:t xml:space="preserve"> zawiera wymóg zawarcia umowy leasingu w formie pisemnej ad solemnitatem. Skutkiem niezachowania formy pisemnej jest bezwzględna nieważność umowy leasingu (art. 73 § 1 </w:t>
      </w:r>
      <w:proofErr w:type="spellStart"/>
      <w:r w:rsidRPr="005C158A">
        <w:rPr>
          <w:rFonts w:ascii="Arial" w:hAnsi="Arial" w:cs="Arial"/>
          <w:sz w:val="20"/>
          <w:szCs w:val="20"/>
        </w:rPr>
        <w:t>Kc</w:t>
      </w:r>
      <w:proofErr w:type="spellEnd"/>
      <w:r w:rsidRPr="005C158A">
        <w:rPr>
          <w:rFonts w:ascii="Arial" w:hAnsi="Arial" w:cs="Arial"/>
          <w:sz w:val="20"/>
          <w:szCs w:val="20"/>
        </w:rPr>
        <w:t>).</w:t>
      </w:r>
    </w:p>
    <w:p w14:paraId="0245F057" w14:textId="54996974" w:rsidR="009125C2" w:rsidRPr="005C158A" w:rsidRDefault="009125C2" w:rsidP="00C5309B">
      <w:pPr>
        <w:spacing w:before="120" w:after="120" w:line="360" w:lineRule="auto"/>
        <w:jc w:val="both"/>
        <w:rPr>
          <w:rFonts w:ascii="Arial" w:hAnsi="Arial" w:cs="Arial"/>
          <w:sz w:val="20"/>
          <w:szCs w:val="20"/>
        </w:rPr>
      </w:pPr>
      <w:r w:rsidRPr="005C158A">
        <w:rPr>
          <w:rFonts w:ascii="Arial" w:hAnsi="Arial" w:cs="Arial"/>
          <w:sz w:val="20"/>
          <w:szCs w:val="20"/>
        </w:rPr>
        <w:t xml:space="preserve">Leasing jest instrumentem finansującym inwestycje polskich przedsiębiorców. Zastrzeżenie formy pisemnej pod rygorem nieważności przewidzianej dla umowy leasingu </w:t>
      </w:r>
      <w:r w:rsidR="00C5309B" w:rsidRPr="005C158A">
        <w:rPr>
          <w:rFonts w:ascii="Arial" w:hAnsi="Arial" w:cs="Arial"/>
          <w:sz w:val="20"/>
          <w:szCs w:val="20"/>
        </w:rPr>
        <w:t xml:space="preserve">może </w:t>
      </w:r>
      <w:r w:rsidRPr="005C158A">
        <w:rPr>
          <w:rFonts w:ascii="Arial" w:hAnsi="Arial" w:cs="Arial"/>
          <w:sz w:val="20"/>
          <w:szCs w:val="20"/>
        </w:rPr>
        <w:t>wydłuża</w:t>
      </w:r>
      <w:r w:rsidR="00C5309B" w:rsidRPr="005C158A">
        <w:rPr>
          <w:rFonts w:ascii="Arial" w:hAnsi="Arial" w:cs="Arial"/>
          <w:sz w:val="20"/>
          <w:szCs w:val="20"/>
        </w:rPr>
        <w:t>ć</w:t>
      </w:r>
      <w:r w:rsidRPr="005C158A">
        <w:rPr>
          <w:rFonts w:ascii="Arial" w:hAnsi="Arial" w:cs="Arial"/>
          <w:sz w:val="20"/>
          <w:szCs w:val="20"/>
        </w:rPr>
        <w:t xml:space="preserve"> proces zawierania umów lub wprowadzania do nich zmian. </w:t>
      </w:r>
    </w:p>
    <w:p w14:paraId="5021DDB8" w14:textId="219F6DD6" w:rsidR="009125C2" w:rsidRPr="005C158A" w:rsidRDefault="009125C2" w:rsidP="00C5309B">
      <w:pPr>
        <w:spacing w:before="120" w:after="120" w:line="360" w:lineRule="auto"/>
        <w:jc w:val="both"/>
        <w:rPr>
          <w:rFonts w:ascii="Arial" w:hAnsi="Arial" w:cs="Arial"/>
          <w:sz w:val="20"/>
          <w:szCs w:val="20"/>
        </w:rPr>
      </w:pPr>
      <w:r w:rsidRPr="005C158A">
        <w:rPr>
          <w:rFonts w:ascii="Arial" w:hAnsi="Arial" w:cs="Arial"/>
          <w:sz w:val="20"/>
          <w:szCs w:val="20"/>
        </w:rPr>
        <w:t>Zawieranie umów leasingu w formie dokumentowej, bez konieczności posiadania podpisu elektronicznego weryfikowanego za pomocą kwalifikowanego certyfikatu, pozwoli usprawnić i przyspieszyć zawieranie tego typu umów, a takie wpłynie pozytywnie na bezpieczeństwo stron obrotu. Ponadto znacznie ułatwi i przyspieszy efektywność i dynamikę udzielania finansowania w formie leasingu tego typu przedsiębiorcom.</w:t>
      </w:r>
    </w:p>
    <w:p w14:paraId="3E43CAD1" w14:textId="22449666" w:rsidR="009125C2" w:rsidRPr="005C158A" w:rsidRDefault="009125C2" w:rsidP="00C5309B">
      <w:pPr>
        <w:spacing w:before="120" w:after="120" w:line="360" w:lineRule="auto"/>
        <w:jc w:val="both"/>
        <w:rPr>
          <w:rFonts w:ascii="Arial" w:hAnsi="Arial" w:cs="Arial"/>
          <w:sz w:val="20"/>
          <w:szCs w:val="20"/>
        </w:rPr>
      </w:pPr>
      <w:r w:rsidRPr="005C158A">
        <w:rPr>
          <w:rFonts w:ascii="Arial" w:hAnsi="Arial" w:cs="Arial"/>
          <w:sz w:val="20"/>
          <w:szCs w:val="20"/>
        </w:rPr>
        <w:t xml:space="preserve">Zliberalizowana forma prawna w postaci dokumentu znajdzie zastosowanie we wszystkich relacjach podmiotowych obrotu cywilnoprawnego, w tym gospodarczego. Zastrzeżenie rygoru nieważności zapewni odpowiedni poziom bezpieczeństwa tego obrotu oraz jawność ww. umowy w stosunku do osób trzecich, a także ochronę ich interesów. Brak zastrzeżenia rygoru nieważności dla zawarcia umowy </w:t>
      </w:r>
      <w:r w:rsidRPr="005C158A">
        <w:rPr>
          <w:rFonts w:ascii="Arial" w:hAnsi="Arial" w:cs="Arial"/>
          <w:sz w:val="20"/>
          <w:szCs w:val="20"/>
        </w:rPr>
        <w:lastRenderedPageBreak/>
        <w:t xml:space="preserve">leasingu w formie dokumentowej </w:t>
      </w:r>
      <w:r w:rsidR="00C5309B" w:rsidRPr="005C158A">
        <w:rPr>
          <w:rFonts w:ascii="Arial" w:hAnsi="Arial" w:cs="Arial"/>
          <w:sz w:val="20"/>
          <w:szCs w:val="20"/>
        </w:rPr>
        <w:t xml:space="preserve">może </w:t>
      </w:r>
      <w:r w:rsidRPr="005C158A">
        <w:rPr>
          <w:rFonts w:ascii="Arial" w:hAnsi="Arial" w:cs="Arial"/>
          <w:sz w:val="20"/>
          <w:szCs w:val="20"/>
        </w:rPr>
        <w:t>rodzi</w:t>
      </w:r>
      <w:r w:rsidR="00C5309B" w:rsidRPr="005C158A">
        <w:rPr>
          <w:rFonts w:ascii="Arial" w:hAnsi="Arial" w:cs="Arial"/>
          <w:sz w:val="20"/>
          <w:szCs w:val="20"/>
        </w:rPr>
        <w:t>ć</w:t>
      </w:r>
      <w:r w:rsidRPr="005C158A">
        <w:rPr>
          <w:rFonts w:ascii="Arial" w:hAnsi="Arial" w:cs="Arial"/>
          <w:sz w:val="20"/>
          <w:szCs w:val="20"/>
        </w:rPr>
        <w:t xml:space="preserve"> ryzyko naruszenia pewności obrotu, bowiem w myśl art. 74 § 2 </w:t>
      </w:r>
      <w:proofErr w:type="spellStart"/>
      <w:r w:rsidR="00C5309B" w:rsidRPr="005C158A">
        <w:rPr>
          <w:rFonts w:ascii="Arial" w:hAnsi="Arial" w:cs="Arial"/>
          <w:sz w:val="20"/>
          <w:szCs w:val="20"/>
        </w:rPr>
        <w:t>Kc</w:t>
      </w:r>
      <w:proofErr w:type="spellEnd"/>
      <w:r w:rsidRPr="005C158A">
        <w:rPr>
          <w:rFonts w:ascii="Arial" w:hAnsi="Arial" w:cs="Arial"/>
          <w:sz w:val="20"/>
          <w:szCs w:val="20"/>
        </w:rPr>
        <w:t xml:space="preserve"> konsument zawsze może dowodzić zeznaniami świadków, że treść umowy była odmienna niż określona w dokumentach.</w:t>
      </w:r>
    </w:p>
    <w:p w14:paraId="558FA7F7" w14:textId="74B7FE13" w:rsidR="00EF5C9D" w:rsidRPr="005C158A" w:rsidRDefault="00616C5E" w:rsidP="00401710">
      <w:pPr>
        <w:pStyle w:val="Nagwek2"/>
        <w:spacing w:before="120" w:after="120" w:line="360" w:lineRule="auto"/>
        <w:jc w:val="both"/>
        <w:rPr>
          <w:rFonts w:ascii="Arial" w:hAnsi="Arial" w:cs="Arial"/>
          <w:color w:val="auto"/>
          <w:sz w:val="20"/>
          <w:szCs w:val="20"/>
        </w:rPr>
      </w:pPr>
      <w:bookmarkStart w:id="21" w:name="_Toc138329746"/>
      <w:bookmarkEnd w:id="17"/>
      <w:r w:rsidRPr="005C158A">
        <w:rPr>
          <w:rFonts w:ascii="Arial" w:hAnsi="Arial" w:cs="Arial"/>
          <w:color w:val="auto"/>
          <w:sz w:val="20"/>
          <w:szCs w:val="20"/>
        </w:rPr>
        <w:t xml:space="preserve">Ustawa </w:t>
      </w:r>
      <w:r w:rsidR="00EF5C9D" w:rsidRPr="005C158A">
        <w:rPr>
          <w:rFonts w:ascii="Arial" w:hAnsi="Arial" w:cs="Arial"/>
          <w:color w:val="auto"/>
          <w:sz w:val="20"/>
          <w:szCs w:val="20"/>
        </w:rPr>
        <w:t>z dnia 17 listopada 1964 r. – Kodeks postępowania cywilnego</w:t>
      </w:r>
      <w:bookmarkEnd w:id="21"/>
    </w:p>
    <w:p w14:paraId="3C59C2AA" w14:textId="5A8D3210" w:rsidR="004E56AD" w:rsidRPr="005C158A" w:rsidRDefault="004E56A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1) </w:t>
      </w:r>
      <w:r w:rsidRPr="005C158A">
        <w:rPr>
          <w:rFonts w:ascii="Arial" w:hAnsi="Arial" w:cs="Arial"/>
          <w:sz w:val="20"/>
          <w:szCs w:val="20"/>
        </w:rPr>
        <w:tab/>
        <w:t>Wzmocnienie mediacji w postępowaniu cywilnym.</w:t>
      </w:r>
    </w:p>
    <w:p w14:paraId="069DFBA6" w14:textId="6919C9FE" w:rsidR="002A1429" w:rsidRPr="005C158A" w:rsidRDefault="00A77B49" w:rsidP="00401710">
      <w:pPr>
        <w:spacing w:before="120" w:after="120" w:line="360" w:lineRule="auto"/>
        <w:jc w:val="both"/>
        <w:rPr>
          <w:rFonts w:ascii="Arial" w:hAnsi="Arial" w:cs="Arial"/>
          <w:sz w:val="20"/>
          <w:szCs w:val="20"/>
        </w:rPr>
      </w:pPr>
      <w:r w:rsidRPr="005C158A">
        <w:rPr>
          <w:rFonts w:ascii="Arial" w:hAnsi="Arial" w:cs="Arial"/>
          <w:sz w:val="20"/>
          <w:szCs w:val="20"/>
        </w:rPr>
        <w:t>Kodeks postępowania cywilnego przewiduje obowiązek poinformowania w pozwie, czy strony podjęły próbę mediacji lub innego pozasądowego sposobu rozwiązania sporu, a w przypadku gdy takich prób nie podjęto, wyjaśnienia przyczyn niepodjęcia takiej próby (art. 187 § 1 pkt 3). Niedopełnienie tego wymogu nie obliguje expressis verbis do podjęcia przez sąd konkretnych działań. Tymczasem, przed przystąpieniem sądu do rozpoznania sprawy, strony powinny wykorzystać wszelkie środki umożliwiające pozasądowe rozwiązanie sporu. W celu wzmocnienia instrumentów sądowych, skłaniających strony do mediacji, proponuje się wprowadzić katalog spraw, w których sąd kierowałby strony do mediacji, w przypadku niedopełniania ww. wymogu. Katalog powinien obejmować sprawy gospodarcze oraz sprawy z zakresu prawa pracy, za wyjątkiem spraw o uznanie bezskuteczności wypowiedzenia stosunku pracy, o przywrócenie do pracy i przywrócenie poprzednich warunków pracy lub płacy oraz łącznie z nimi dochodzone roszczenia i odszkodowanie w</w:t>
      </w:r>
      <w:r w:rsidR="00715FF6" w:rsidRPr="005C158A">
        <w:rPr>
          <w:rFonts w:ascii="Arial" w:hAnsi="Arial" w:cs="Arial"/>
          <w:sz w:val="20"/>
          <w:szCs w:val="20"/>
        </w:rPr>
        <w:t> </w:t>
      </w:r>
      <w:r w:rsidRPr="005C158A">
        <w:rPr>
          <w:rFonts w:ascii="Arial" w:hAnsi="Arial" w:cs="Arial"/>
          <w:sz w:val="20"/>
          <w:szCs w:val="20"/>
        </w:rPr>
        <w:t>przypadku nieuzasadnionego lub naruszającego przepisy wypowiedzenia oraz rozwiązania stosunku pracy.</w:t>
      </w:r>
      <w:r w:rsidRPr="005C158A">
        <w:rPr>
          <w:rFonts w:ascii="Arial" w:eastAsia="Calibri" w:hAnsi="Arial" w:cs="Arial"/>
          <w:bCs/>
          <w:sz w:val="20"/>
          <w:szCs w:val="20"/>
        </w:rPr>
        <w:t xml:space="preserve"> W przypadku prawa pracy może być to szczególnie istotne, gdy pracodawca nie zgadza się na podjęcie mediacji nie podając powodu</w:t>
      </w:r>
      <w:r w:rsidR="00267DAA" w:rsidRPr="005C158A">
        <w:rPr>
          <w:rFonts w:ascii="Arial" w:eastAsia="Calibri" w:hAnsi="Arial" w:cs="Arial"/>
          <w:bCs/>
          <w:sz w:val="20"/>
          <w:szCs w:val="20"/>
        </w:rPr>
        <w:t xml:space="preserve">. </w:t>
      </w:r>
      <w:r w:rsidRPr="005C158A">
        <w:rPr>
          <w:rFonts w:ascii="Arial" w:hAnsi="Arial" w:cs="Arial"/>
          <w:sz w:val="20"/>
          <w:szCs w:val="20"/>
        </w:rPr>
        <w:t xml:space="preserve">Charakter spraw gospodarczych oraz spraw z zakresu prawa pracy przesądza, że strony sporu powinny być szczególnie zainteresowane szybkim i tańszym zakończeniem sporu niż otrzymanie rozstrzygnięcia po przeprowadzeniu postępowania sądowego, a ponadto utrzymaniem możliwości dalszej współpracy w ramach stosunków gospodarczych albo stosunku pracy. </w:t>
      </w:r>
    </w:p>
    <w:p w14:paraId="3CFECD74" w14:textId="77777777" w:rsidR="00267DAA" w:rsidRPr="005C158A" w:rsidRDefault="00A77B49" w:rsidP="00267DAA">
      <w:pPr>
        <w:spacing w:before="120" w:after="120" w:line="360" w:lineRule="auto"/>
        <w:jc w:val="both"/>
        <w:rPr>
          <w:rFonts w:ascii="Arial" w:hAnsi="Arial" w:cs="Arial"/>
          <w:sz w:val="20"/>
          <w:szCs w:val="20"/>
        </w:rPr>
      </w:pPr>
      <w:r w:rsidRPr="005C158A">
        <w:rPr>
          <w:rFonts w:ascii="Arial" w:hAnsi="Arial" w:cs="Arial"/>
          <w:sz w:val="20"/>
          <w:szCs w:val="20"/>
        </w:rPr>
        <w:t>Proponowana zmiana pozytywnie wpłynie na stopień wykorzystania pozasądowych metod rozwiązywania sporów, szczególnie w przypadkach</w:t>
      </w:r>
      <w:r w:rsidR="00F60447" w:rsidRPr="005C158A">
        <w:rPr>
          <w:rFonts w:ascii="Arial" w:hAnsi="Arial" w:cs="Arial"/>
          <w:sz w:val="20"/>
          <w:szCs w:val="20"/>
        </w:rPr>
        <w:t>,</w:t>
      </w:r>
      <w:r w:rsidRPr="005C158A">
        <w:rPr>
          <w:rFonts w:ascii="Arial" w:hAnsi="Arial" w:cs="Arial"/>
          <w:sz w:val="20"/>
          <w:szCs w:val="20"/>
        </w:rPr>
        <w:t xml:space="preserve"> gdy jedna ze stron w większym stopniu wpływa na treść łączącego strony stosunku prawnego i kształtowania relacji w trakcie sporu. </w:t>
      </w:r>
      <w:r w:rsidR="00267DAA" w:rsidRPr="005C158A">
        <w:rPr>
          <w:rFonts w:ascii="Arial" w:hAnsi="Arial" w:cs="Arial"/>
          <w:sz w:val="20"/>
          <w:szCs w:val="20"/>
        </w:rPr>
        <w:t>Zmiany polegają także na doprecyzowaniu zakresu informacji, jakie powinny być podane w pozwie oraz przesądzeniu, że brak informacji o pozasądowych próbach rozwiązania sporu nie stanowi braku formalnego uniemożliwiającego nadanie sprawie biegu.</w:t>
      </w:r>
    </w:p>
    <w:p w14:paraId="0958E764" w14:textId="72E4D018" w:rsidR="00D827C3" w:rsidRPr="005C158A" w:rsidRDefault="00D827C3" w:rsidP="0011422D">
      <w:pPr>
        <w:spacing w:before="120" w:after="120" w:line="360" w:lineRule="auto"/>
        <w:jc w:val="both"/>
        <w:rPr>
          <w:rFonts w:ascii="Arial" w:hAnsi="Arial" w:cs="Arial"/>
          <w:sz w:val="20"/>
          <w:szCs w:val="20"/>
        </w:rPr>
      </w:pPr>
      <w:r w:rsidRPr="005C158A">
        <w:rPr>
          <w:rFonts w:ascii="Arial" w:hAnsi="Arial" w:cs="Arial"/>
          <w:sz w:val="20"/>
          <w:szCs w:val="20"/>
        </w:rPr>
        <w:t>2)</w:t>
      </w:r>
      <w:r w:rsidRPr="005C158A">
        <w:rPr>
          <w:rFonts w:ascii="Arial" w:hAnsi="Arial" w:cs="Arial"/>
          <w:sz w:val="20"/>
          <w:szCs w:val="20"/>
        </w:rPr>
        <w:tab/>
        <w:t>Koszty sądowe przy skardze kasacyjnej Rzecznika Małych i Średnich Przedsiębiorców.</w:t>
      </w:r>
    </w:p>
    <w:p w14:paraId="619CFB11" w14:textId="6F476499" w:rsidR="00D827C3" w:rsidRPr="005C158A" w:rsidRDefault="00D827C3" w:rsidP="00D827C3">
      <w:pPr>
        <w:spacing w:before="120" w:after="120" w:line="360" w:lineRule="auto"/>
        <w:jc w:val="both"/>
        <w:rPr>
          <w:rFonts w:ascii="Arial" w:hAnsi="Arial" w:cs="Arial"/>
          <w:sz w:val="20"/>
          <w:szCs w:val="20"/>
        </w:rPr>
      </w:pPr>
      <w:r w:rsidRPr="005C158A">
        <w:rPr>
          <w:rFonts w:ascii="Arial" w:hAnsi="Arial" w:cs="Arial"/>
          <w:sz w:val="20"/>
          <w:szCs w:val="20"/>
        </w:rPr>
        <w:t>Zmiana w art. 398</w:t>
      </w:r>
      <w:r w:rsidRPr="005C158A">
        <w:rPr>
          <w:rFonts w:ascii="Arial" w:hAnsi="Arial" w:cs="Arial"/>
          <w:sz w:val="20"/>
          <w:szCs w:val="20"/>
          <w:vertAlign w:val="superscript"/>
        </w:rPr>
        <w:t xml:space="preserve">18 </w:t>
      </w:r>
      <w:proofErr w:type="spellStart"/>
      <w:r w:rsidRPr="005C158A">
        <w:rPr>
          <w:rFonts w:ascii="Arial" w:hAnsi="Arial" w:cs="Arial"/>
          <w:sz w:val="20"/>
          <w:szCs w:val="20"/>
        </w:rPr>
        <w:t>Kpc</w:t>
      </w:r>
      <w:proofErr w:type="spellEnd"/>
      <w:r w:rsidRPr="005C158A">
        <w:rPr>
          <w:rFonts w:ascii="Arial" w:hAnsi="Arial" w:cs="Arial"/>
          <w:sz w:val="20"/>
          <w:szCs w:val="20"/>
        </w:rPr>
        <w:t xml:space="preserve"> jest konieczna dla usunięcia deficytu regulacji prawnych odnoszących się do zasad procesowych uczestnictwa Rzecznika Małych i Średnich Przedsiębiorców – zwanego dalej: Rzecznik MŚP, w postępowaniach przed Sadem Najwyższym. W praktyce funkcjonowania Rzecznika MŚP zarysowały się istotne problemy interpretacyjne dotyczące wymienionego powyżej przepisu prawa skutkujące powstaniem istotnej bariery przy wykonywaniu przez Rzecznika jego ustawowych uprawnień. Dostrzeżony problem wybrzmiał na kanwie kilku orzeczeń Sądu Najwyższego w przedmiocie kosztów postępowania przed tym sądem, zapadłych w identycznych (w tym zakresie) stanach faktycznych, a skutkujących w jednych z przypadków bezzasadnym orzeczeniem od Rzecznika na rzecz organu rentowego kosztów procesu przed Sądem Najwyższym.</w:t>
      </w:r>
    </w:p>
    <w:p w14:paraId="5E58A918" w14:textId="1DA6E4BA" w:rsidR="00D827C3" w:rsidRPr="005C158A" w:rsidRDefault="00D827C3" w:rsidP="00D827C3">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Rzecznik MŚP, jako organ ochrony praworządności, występując w postępowaniu sądowym w związku z realizacją zadań powierzonych mu ustawą – nie jest stroną przegrywającą ani wygrywającą w sporze, wobec powyższego do Rzecznika w żadnym wypadku nie można stosować postanowień art. 98 </w:t>
      </w:r>
      <w:proofErr w:type="spellStart"/>
      <w:r w:rsidRPr="005C158A">
        <w:rPr>
          <w:rFonts w:ascii="Arial" w:hAnsi="Arial" w:cs="Arial"/>
          <w:sz w:val="20"/>
          <w:szCs w:val="20"/>
        </w:rPr>
        <w:t>Kpc</w:t>
      </w:r>
      <w:proofErr w:type="spellEnd"/>
      <w:r w:rsidRPr="005C158A">
        <w:rPr>
          <w:rFonts w:ascii="Arial" w:hAnsi="Arial" w:cs="Arial"/>
          <w:sz w:val="20"/>
          <w:szCs w:val="20"/>
        </w:rPr>
        <w:t>. Rzecznik MŚP nawet jeśli podejmuje interwencję w indywidualnych sprawach – to występuje w interesie ochrony praw ogółu przedsiębiorców w konfrontacji z organami publicznymi – poprzez co spełnia ważną i pożyteczną rolę społeczną. Osiągnięcie tego celu wymaga zwolnienia Rzecznika MŚP od kosztów sądowych w sprawach, które wytacza lub w których bierze udział w interesie przedsiębiorców – do czego został ustawowo powołany. W przeciwnym wypadku możliwości realizacji przez niego tego celu będą niebezpiecznie ograniczone ze szkodą dla przedsiębiorców i interesu społecznego. Stąd też zwolnienie Rzecznika MŚP od kosztów sądowych, gdy występuje on przed Sądem Najwyższym w związku z realizacją swoich zadań, do których został powołany – jest w pełni uzasadnione.</w:t>
      </w:r>
    </w:p>
    <w:p w14:paraId="0A5BE978" w14:textId="77777777" w:rsidR="00D827C3" w:rsidRPr="005C158A" w:rsidRDefault="00D827C3" w:rsidP="00D827C3">
      <w:pPr>
        <w:spacing w:before="120" w:after="120" w:line="360" w:lineRule="auto"/>
        <w:jc w:val="both"/>
        <w:rPr>
          <w:rFonts w:ascii="Arial" w:hAnsi="Arial" w:cs="Arial"/>
          <w:sz w:val="20"/>
          <w:szCs w:val="20"/>
        </w:rPr>
      </w:pPr>
      <w:r w:rsidRPr="005C158A">
        <w:rPr>
          <w:rFonts w:ascii="Arial" w:hAnsi="Arial" w:cs="Arial"/>
          <w:sz w:val="20"/>
          <w:szCs w:val="20"/>
        </w:rPr>
        <w:t>Obowiązek ponoszenia kosztów sądowych przez Rzecznika MŚP w postępowaniach przed Sądem Najwyższym stanowi przeszkodę uniemożliwiającą prawidłowe wykonywanie przez ten organ nałożonych na niego ustawą zadań. Dalsze utrzymywanie tego obowiązku będzie stawiać Rzecznika MŚP w bezpodstawnie gorszym położeniu procesowym niż inne jemu podobne organy, a tak jak Rzecznik powołane do ochrony prawa i występujące przed sądami w adekwatnej roli.</w:t>
      </w:r>
    </w:p>
    <w:p w14:paraId="210D6D5C" w14:textId="3997D671" w:rsidR="004E56AD" w:rsidRPr="005C158A" w:rsidRDefault="00D827C3" w:rsidP="00401710">
      <w:pPr>
        <w:spacing w:before="120" w:after="120" w:line="360" w:lineRule="auto"/>
        <w:jc w:val="both"/>
        <w:rPr>
          <w:rFonts w:ascii="Arial" w:hAnsi="Arial" w:cs="Arial"/>
          <w:sz w:val="20"/>
          <w:szCs w:val="20"/>
        </w:rPr>
      </w:pPr>
      <w:r w:rsidRPr="005C158A">
        <w:rPr>
          <w:rFonts w:ascii="Arial" w:hAnsi="Arial" w:cs="Arial"/>
          <w:sz w:val="20"/>
          <w:szCs w:val="20"/>
        </w:rPr>
        <w:t>3</w:t>
      </w:r>
      <w:r w:rsidR="004E56AD" w:rsidRPr="005C158A">
        <w:rPr>
          <w:rFonts w:ascii="Arial" w:hAnsi="Arial" w:cs="Arial"/>
          <w:sz w:val="20"/>
          <w:szCs w:val="20"/>
        </w:rPr>
        <w:t>)</w:t>
      </w:r>
      <w:r w:rsidR="004E56AD" w:rsidRPr="005C158A">
        <w:rPr>
          <w:rFonts w:ascii="Arial" w:hAnsi="Arial" w:cs="Arial"/>
          <w:sz w:val="20"/>
          <w:szCs w:val="20"/>
        </w:rPr>
        <w:tab/>
        <w:t>Zasady prowadzenia działalności gospodarczej przez</w:t>
      </w:r>
      <w:r w:rsidR="00267DAA" w:rsidRPr="005C158A">
        <w:rPr>
          <w:rFonts w:ascii="Arial" w:hAnsi="Arial" w:cs="Arial"/>
          <w:sz w:val="20"/>
          <w:szCs w:val="20"/>
        </w:rPr>
        <w:t xml:space="preserve"> osoby posiadające ograniczoną zdolność do czynności prawnych</w:t>
      </w:r>
      <w:r w:rsidR="004E56AD" w:rsidRPr="005C158A">
        <w:rPr>
          <w:rFonts w:ascii="Arial" w:hAnsi="Arial" w:cs="Arial"/>
          <w:sz w:val="20"/>
          <w:szCs w:val="20"/>
        </w:rPr>
        <w:t>.</w:t>
      </w:r>
    </w:p>
    <w:p w14:paraId="026E4692" w14:textId="77777777" w:rsidR="00267DAA" w:rsidRPr="005C158A" w:rsidRDefault="00267DAA" w:rsidP="00267DAA">
      <w:pPr>
        <w:spacing w:before="120" w:after="120" w:line="360" w:lineRule="auto"/>
        <w:jc w:val="both"/>
        <w:rPr>
          <w:rFonts w:ascii="Arial" w:hAnsi="Arial" w:cs="Arial"/>
          <w:sz w:val="20"/>
          <w:szCs w:val="20"/>
        </w:rPr>
      </w:pPr>
      <w:r w:rsidRPr="005C158A">
        <w:rPr>
          <w:rFonts w:ascii="Arial" w:hAnsi="Arial" w:cs="Arial"/>
          <w:sz w:val="20"/>
          <w:szCs w:val="20"/>
        </w:rPr>
        <w:t xml:space="preserve">W tytule II Przepisy dla poszczególnych rodzajów spraw w dziale II Sprawy z zakresu prawa rodzinnego, opiekuńczego i kurateli w rozdziale 2 Inne sprawy rodzinne oraz sprawy opiekuńcze proponuje się dodać oddział regulujący sprawy z zakresu działalności gospodarczej osób posiadających ograniczoną zdolność do czynności prawnych. </w:t>
      </w:r>
    </w:p>
    <w:p w14:paraId="5B95F2DA" w14:textId="77777777" w:rsidR="00267DAA" w:rsidRPr="005C158A" w:rsidRDefault="00267DAA" w:rsidP="00267DAA">
      <w:pPr>
        <w:spacing w:before="120" w:after="120" w:line="360" w:lineRule="auto"/>
        <w:jc w:val="both"/>
        <w:rPr>
          <w:rFonts w:ascii="Arial" w:hAnsi="Arial" w:cs="Arial"/>
          <w:sz w:val="20"/>
          <w:szCs w:val="20"/>
        </w:rPr>
      </w:pPr>
      <w:r w:rsidRPr="005C158A">
        <w:rPr>
          <w:rFonts w:ascii="Arial" w:hAnsi="Arial" w:cs="Arial"/>
          <w:sz w:val="20"/>
          <w:szCs w:val="20"/>
        </w:rPr>
        <w:t>Wniosek o zezwolenie sądu opiekuńczego na podjęcie działalności gospodarczej będą mogli złożyć osoba posiadająca ograniczoną zdolność do czynności prawnych, jej przedstawiciel ustawowy lub kurator. Wniosek o orzeczenie przez sąd opiekuńczy zakazu albo ograniczenia podjęcia lub wykonywania działalności gospodarczej osobie , która ma ograniczoną zdolność do czynności prawnych, będą mogli złożyć natomiast przedstawiciel ustawowy, kurator lub osoba, która ma w tym interes prawny.</w:t>
      </w:r>
    </w:p>
    <w:p w14:paraId="22928EA9" w14:textId="305D5B9A" w:rsidR="00267DAA" w:rsidRPr="005C158A" w:rsidRDefault="00267DAA" w:rsidP="00267DAA">
      <w:pPr>
        <w:spacing w:before="120" w:after="120" w:line="360" w:lineRule="auto"/>
        <w:jc w:val="both"/>
        <w:rPr>
          <w:rFonts w:ascii="Arial" w:hAnsi="Arial" w:cs="Arial"/>
          <w:sz w:val="20"/>
          <w:szCs w:val="20"/>
        </w:rPr>
      </w:pPr>
      <w:r w:rsidRPr="005C158A">
        <w:rPr>
          <w:rFonts w:ascii="Arial" w:hAnsi="Arial" w:cs="Arial"/>
          <w:sz w:val="20"/>
          <w:szCs w:val="20"/>
        </w:rPr>
        <w:t>Sąd opiekuńczy w sprawach z zakresu działalności gospodarczej dotyczących osoby posiadającej ograniczoną zdolność do czynności prawnych</w:t>
      </w:r>
      <w:r w:rsidR="009A1EDE" w:rsidRPr="005C158A">
        <w:rPr>
          <w:rFonts w:ascii="Arial" w:hAnsi="Arial" w:cs="Arial"/>
          <w:sz w:val="20"/>
          <w:szCs w:val="20"/>
        </w:rPr>
        <w:t xml:space="preserve"> </w:t>
      </w:r>
      <w:r w:rsidRPr="005C158A">
        <w:rPr>
          <w:rFonts w:ascii="Arial" w:hAnsi="Arial" w:cs="Arial"/>
          <w:sz w:val="20"/>
          <w:szCs w:val="20"/>
        </w:rPr>
        <w:t xml:space="preserve">będzie miał obowiązek ustalić przede wszystkim stopień rozwoju umysłowego, stan zdrowia i stopień dojrzałości tej osoby. </w:t>
      </w:r>
    </w:p>
    <w:p w14:paraId="6B779E5E" w14:textId="64FA134D" w:rsidR="00267DAA" w:rsidRPr="005C158A" w:rsidRDefault="00267DAA" w:rsidP="00267DAA">
      <w:pPr>
        <w:spacing w:before="120" w:after="120" w:line="360" w:lineRule="auto"/>
        <w:jc w:val="both"/>
        <w:rPr>
          <w:rFonts w:ascii="Arial" w:hAnsi="Arial" w:cs="Arial"/>
          <w:sz w:val="20"/>
          <w:szCs w:val="20"/>
        </w:rPr>
      </w:pPr>
      <w:r w:rsidRPr="005C158A">
        <w:rPr>
          <w:rFonts w:ascii="Arial" w:hAnsi="Arial" w:cs="Arial"/>
          <w:sz w:val="20"/>
          <w:szCs w:val="20"/>
        </w:rPr>
        <w:t>Zezwolenie na podjęcie lub wykonywanie działalności gospodarczej będzie mogło być wydane, o ile  nie sprzeciwia się to dobru tej osoby, bezpieczeństwu obrotu i prawom konsumenta.</w:t>
      </w:r>
    </w:p>
    <w:p w14:paraId="67036618" w14:textId="77777777" w:rsidR="00267DAA" w:rsidRPr="005C158A" w:rsidRDefault="00267DAA" w:rsidP="00267DAA">
      <w:pPr>
        <w:spacing w:before="120" w:after="120" w:line="360" w:lineRule="auto"/>
        <w:jc w:val="both"/>
        <w:rPr>
          <w:rFonts w:ascii="Arial" w:hAnsi="Arial" w:cs="Arial"/>
          <w:sz w:val="20"/>
          <w:szCs w:val="20"/>
        </w:rPr>
      </w:pPr>
      <w:r w:rsidRPr="005C158A">
        <w:rPr>
          <w:rFonts w:ascii="Arial" w:hAnsi="Arial" w:cs="Arial"/>
          <w:sz w:val="20"/>
          <w:szCs w:val="20"/>
        </w:rPr>
        <w:t>Sąd opiekuńczy stosownie do okoliczności, rozwoju umysłowego, stanu zdrowia i stopnia dojrzałości osoby mającej ograniczoną zdolność do czynności prawnych będzie uwzględniał jego zdanie i rozsądne życzenia w zakresie podjęcia lub wykonywania działalności gospodarczej.</w:t>
      </w:r>
    </w:p>
    <w:p w14:paraId="0870A0EE" w14:textId="77777777" w:rsidR="00267DAA" w:rsidRPr="005C158A" w:rsidRDefault="00267DAA" w:rsidP="00267DAA">
      <w:pPr>
        <w:spacing w:before="120" w:after="120" w:line="360" w:lineRule="auto"/>
        <w:jc w:val="both"/>
        <w:rPr>
          <w:rFonts w:ascii="Arial" w:hAnsi="Arial" w:cs="Arial"/>
          <w:sz w:val="20"/>
          <w:szCs w:val="20"/>
        </w:rPr>
      </w:pPr>
      <w:r w:rsidRPr="005C158A">
        <w:rPr>
          <w:rFonts w:ascii="Arial" w:hAnsi="Arial" w:cs="Arial"/>
          <w:sz w:val="20"/>
          <w:szCs w:val="20"/>
        </w:rPr>
        <w:t xml:space="preserve">Sąd opiekuńczy wydając postanowienie w zakresie działalności gospodarczej osoby mającej ograniczoną zdolność do czynności prawnych będzie wskazywał przedmiot wykonywanej, ograniczonej </w:t>
      </w:r>
      <w:r w:rsidRPr="005C158A">
        <w:rPr>
          <w:rFonts w:ascii="Arial" w:hAnsi="Arial" w:cs="Arial"/>
          <w:sz w:val="20"/>
          <w:szCs w:val="20"/>
        </w:rPr>
        <w:lastRenderedPageBreak/>
        <w:t>albo zakazanej działalności gospodarczej, według Polskiej Klasyfikacji Działalności na poziomie podklasy– ma to na celu wyeliminowanie sytuacji, gdyby faktycznie wykonywana działalność miała wykraczać poza zakres, który został dopuszczony przez sąd. Sąd opiekuńczy będzie także  wskazywał osobę reprezentującą przedsiębiorcę, a także rozstrzygał, czy i w jakim zakresie działalność może być wykonywana osobiście. Pozwoli to na jednoznaczne ustalenie, kto i na jakich zasadach może dokonywać czynności prawnych w ramach działalności gospodarczej.</w:t>
      </w:r>
    </w:p>
    <w:p w14:paraId="08DEA9B1" w14:textId="21053D7C" w:rsidR="00710935" w:rsidRPr="005C158A" w:rsidRDefault="00616C5E" w:rsidP="00401710">
      <w:pPr>
        <w:pStyle w:val="Nagwek2"/>
        <w:spacing w:before="120" w:after="120" w:line="360" w:lineRule="auto"/>
        <w:jc w:val="both"/>
        <w:rPr>
          <w:rStyle w:val="PKpogrubieniekursywa"/>
          <w:rFonts w:ascii="Arial" w:hAnsi="Arial" w:cs="Arial"/>
          <w:b/>
          <w:i w:val="0"/>
          <w:color w:val="auto"/>
          <w:sz w:val="20"/>
          <w:szCs w:val="20"/>
        </w:rPr>
      </w:pPr>
      <w:bookmarkStart w:id="22" w:name="_Toc138329747"/>
      <w:r w:rsidRPr="005C158A">
        <w:rPr>
          <w:rFonts w:ascii="Arial" w:hAnsi="Arial" w:cs="Arial"/>
          <w:color w:val="auto"/>
          <w:sz w:val="20"/>
          <w:szCs w:val="20"/>
        </w:rPr>
        <w:t>U</w:t>
      </w:r>
      <w:r w:rsidR="00710935" w:rsidRPr="005C158A">
        <w:rPr>
          <w:rFonts w:ascii="Arial" w:hAnsi="Arial" w:cs="Arial"/>
          <w:color w:val="auto"/>
          <w:sz w:val="20"/>
          <w:szCs w:val="20"/>
        </w:rPr>
        <w:t>staw</w:t>
      </w:r>
      <w:r w:rsidRPr="005C158A">
        <w:rPr>
          <w:rFonts w:ascii="Arial" w:hAnsi="Arial" w:cs="Arial"/>
          <w:color w:val="auto"/>
          <w:sz w:val="20"/>
          <w:szCs w:val="20"/>
        </w:rPr>
        <w:t>a</w:t>
      </w:r>
      <w:r w:rsidR="00710935" w:rsidRPr="005C158A">
        <w:rPr>
          <w:rFonts w:ascii="Arial" w:hAnsi="Arial" w:cs="Arial"/>
          <w:color w:val="auto"/>
          <w:sz w:val="20"/>
          <w:szCs w:val="20"/>
        </w:rPr>
        <w:t xml:space="preserve"> z dnia 9 kwietnia 1968 r. o dokonywaniu w księgach wieczystych wpisów na rzecz Skarbu Państwa w oparciu o międzynarodowe umowy o uregulowaniu roszczeń finansowych</w:t>
      </w:r>
      <w:bookmarkEnd w:id="22"/>
      <w:r w:rsidR="00710935" w:rsidRPr="005C158A">
        <w:rPr>
          <w:rFonts w:ascii="Arial" w:hAnsi="Arial" w:cs="Arial"/>
          <w:color w:val="auto"/>
          <w:sz w:val="20"/>
          <w:szCs w:val="20"/>
        </w:rPr>
        <w:t xml:space="preserve"> </w:t>
      </w:r>
    </w:p>
    <w:p w14:paraId="2ABCBB2D" w14:textId="77777777" w:rsidR="00553E48" w:rsidRPr="005C158A" w:rsidRDefault="00553E48" w:rsidP="00553E48">
      <w:pPr>
        <w:spacing w:line="360" w:lineRule="auto"/>
        <w:jc w:val="both"/>
        <w:rPr>
          <w:rFonts w:ascii="Arial" w:hAnsi="Arial" w:cs="Arial"/>
          <w:sz w:val="20"/>
          <w:szCs w:val="20"/>
        </w:rPr>
      </w:pPr>
      <w:r w:rsidRPr="005C158A">
        <w:rPr>
          <w:rFonts w:ascii="Arial" w:hAnsi="Arial" w:cs="Arial"/>
          <w:sz w:val="20"/>
          <w:szCs w:val="20"/>
        </w:rPr>
        <w:t>Na gruncie postępowań prowadzonych na podstawie przepisów ustawy z 1968 r. proponuje się odstąpienie od zasady dwuinstancyjności. Za przyjęciem tego stanowiska przemawia to, iż wydawane w trybie przepisów ww. ustawy decyzje mają charakter deklaratoryjny i potwierdzają przejście w przeszłości nieruchomości na rzecz Skarbu Państwa w związku z zawarciem z państwami obcymi układów indemnizacyjnych. Nie zmieniają one istniejącego stosunku prawnego lecz potwierdzają przejście praw rzeczowych w dacie zastosowania przepisów nacjonalizacyjnych lub podobnych, w konsekwencji których nieruchomości zostały przejęte przez Skarb Państwa. Zakres deklaratoryjnego stwierdzenia w decyzji o przejściu na rzecz Skarbu Państwa nieruchomości na podstawie umowy międzynarodowej ogranicza się wyłącznie do kwestii uzyskania przez Skarb Państwa tytułu własności jako podstawy wpisu do księgi wieczystej, a nie prawa własności. Po ustaleniu, że zostały spełnione określone przesłanki na podstawie art. 2 ustawy z 1968 r. zachodzi obowiązek wydania decyzji stwierdzającej przejście na rzecz Skarbu Państwa praw rzeczowych do nieruchomości, która następnie może stanowić podstawę wpisu do księgi wieczystej Skarbu Państwa jako właściciela tej nieruchomości.</w:t>
      </w:r>
    </w:p>
    <w:p w14:paraId="25656A31" w14:textId="77777777" w:rsidR="00553E48" w:rsidRPr="005C158A" w:rsidRDefault="00553E48" w:rsidP="00553E48">
      <w:pPr>
        <w:spacing w:line="360" w:lineRule="auto"/>
        <w:jc w:val="both"/>
        <w:rPr>
          <w:rFonts w:ascii="Arial" w:hAnsi="Arial" w:cs="Arial"/>
          <w:sz w:val="20"/>
          <w:szCs w:val="20"/>
        </w:rPr>
      </w:pPr>
      <w:r w:rsidRPr="005C158A">
        <w:rPr>
          <w:rFonts w:ascii="Arial" w:hAnsi="Arial" w:cs="Arial"/>
          <w:sz w:val="20"/>
          <w:szCs w:val="20"/>
        </w:rPr>
        <w:t xml:space="preserve">Wskazać również należy, iż w postępowaniu prowadzonym przez Ministra Finansów nie mamy do czynienia z odwołaniem składanym do organu wyższego stopnia, lecz z wnioskiem o ponowne rozpatrzenie sprawy, który rozpatrywany jest przez ten sam organ. Jak pokazują statystyki dotyczące decyzji wydawanych w postępowaniach w wyniku wniosku o ponowne rozpatrzenie sprawy, decyzje te w zdecydowanej większości nie prowadzą do zmiany rozstrzygnięć wydawanych w pierwszej instancji, lecz do ponownej polemiki z twierdzeniami przywoływanymi w toku postępowania </w:t>
      </w:r>
      <w:proofErr w:type="spellStart"/>
      <w:r w:rsidRPr="005C158A">
        <w:rPr>
          <w:rFonts w:ascii="Arial" w:hAnsi="Arial" w:cs="Arial"/>
          <w:sz w:val="20"/>
          <w:szCs w:val="20"/>
        </w:rPr>
        <w:t>pierwszoinstancyjnego</w:t>
      </w:r>
      <w:proofErr w:type="spellEnd"/>
      <w:r w:rsidRPr="005C158A">
        <w:rPr>
          <w:rFonts w:ascii="Arial" w:hAnsi="Arial" w:cs="Arial"/>
          <w:sz w:val="20"/>
          <w:szCs w:val="20"/>
        </w:rPr>
        <w:t xml:space="preserve">. </w:t>
      </w:r>
    </w:p>
    <w:p w14:paraId="3EA7A029" w14:textId="12C8B0D8" w:rsidR="00553E48" w:rsidRPr="005C158A" w:rsidRDefault="00553E48" w:rsidP="00553E48">
      <w:pPr>
        <w:spacing w:line="360" w:lineRule="auto"/>
        <w:jc w:val="both"/>
        <w:rPr>
          <w:rFonts w:ascii="Arial" w:hAnsi="Arial" w:cs="Arial"/>
          <w:sz w:val="20"/>
          <w:szCs w:val="20"/>
        </w:rPr>
      </w:pPr>
      <w:r w:rsidRPr="005C158A">
        <w:rPr>
          <w:rFonts w:ascii="Arial" w:hAnsi="Arial" w:cs="Arial"/>
          <w:sz w:val="20"/>
          <w:szCs w:val="20"/>
        </w:rPr>
        <w:t xml:space="preserve">Dodatkowo, obserwuje się coraz częściej rezygnowanie przez strony postępowania ze składania wniosku o ponowne rozpatrzenie sprawy i składanie od razu skargi do wojewódzkiego sądu administracyjnego po wydaniu decyzji w pierwszej instancji na podstawie art. 52 § 3 </w:t>
      </w:r>
      <w:r w:rsidR="009A1EDE" w:rsidRPr="005C158A">
        <w:rPr>
          <w:rFonts w:ascii="Arial" w:hAnsi="Arial" w:cs="Arial"/>
          <w:sz w:val="20"/>
          <w:szCs w:val="20"/>
        </w:rPr>
        <w:t xml:space="preserve">ustawy - Prawo postepowania przed sądami administracyjnymi (dalej: </w:t>
      </w:r>
      <w:proofErr w:type="spellStart"/>
      <w:r w:rsidR="009A1EDE" w:rsidRPr="005C158A">
        <w:rPr>
          <w:rFonts w:ascii="Arial" w:hAnsi="Arial" w:cs="Arial"/>
          <w:sz w:val="20"/>
          <w:szCs w:val="20"/>
        </w:rPr>
        <w:t>Ppsa</w:t>
      </w:r>
      <w:proofErr w:type="spellEnd"/>
      <w:r w:rsidR="009A1EDE" w:rsidRPr="005C158A">
        <w:rPr>
          <w:rFonts w:ascii="Arial" w:hAnsi="Arial" w:cs="Arial"/>
          <w:sz w:val="20"/>
          <w:szCs w:val="20"/>
        </w:rPr>
        <w:t>)</w:t>
      </w:r>
      <w:r w:rsidRPr="005C158A">
        <w:rPr>
          <w:rFonts w:ascii="Arial" w:hAnsi="Arial" w:cs="Arial"/>
          <w:sz w:val="20"/>
          <w:szCs w:val="20"/>
        </w:rPr>
        <w:t>, co należy tłumaczyć potrzebą przyspieszenia prowadzenia postępowania. Strona postępowania będzie mogła szybciej ostatecznie uzyskać rozstrzygnięcie w sprawie. Z kolei wszelkie błędy, korekty których wymagałyby określone rozstrzygnięcia wydane w pierwszej i jedynej (w toku postępowania administracyjnego) instancji zawsze mogłyby podlegać rozpatrzeniu w trybie art. 54 § 3</w:t>
      </w:r>
      <w:r w:rsidR="009A1EDE" w:rsidRPr="005C158A">
        <w:rPr>
          <w:rFonts w:ascii="Arial" w:hAnsi="Arial" w:cs="Arial"/>
          <w:sz w:val="20"/>
          <w:szCs w:val="20"/>
        </w:rPr>
        <w:t xml:space="preserve"> </w:t>
      </w:r>
      <w:proofErr w:type="spellStart"/>
      <w:r w:rsidR="009A1EDE" w:rsidRPr="005C158A">
        <w:rPr>
          <w:rFonts w:ascii="Arial" w:hAnsi="Arial" w:cs="Arial"/>
          <w:sz w:val="20"/>
          <w:szCs w:val="20"/>
        </w:rPr>
        <w:t>Ppsa</w:t>
      </w:r>
      <w:proofErr w:type="spellEnd"/>
      <w:r w:rsidRPr="005C158A">
        <w:rPr>
          <w:rFonts w:ascii="Arial" w:hAnsi="Arial" w:cs="Arial"/>
          <w:sz w:val="20"/>
          <w:szCs w:val="20"/>
        </w:rPr>
        <w:t xml:space="preserve">. Ponadto rozstrzygnięcia wydawane przez Ministra Finansów podlegają zaskarżeniu do sądu administracyjnego, a skargi w tych sprawach będą podlegały dwuinstancyjnemu postępowaniu sądowo-administracyjnemu. Powyższe oznacza, iż prawa </w:t>
      </w:r>
      <w:r w:rsidRPr="005C158A">
        <w:rPr>
          <w:rFonts w:ascii="Arial" w:hAnsi="Arial" w:cs="Arial"/>
          <w:sz w:val="20"/>
          <w:szCs w:val="20"/>
        </w:rPr>
        <w:lastRenderedPageBreak/>
        <w:t>stron postępowania przed Ministrem Finansów, do wnikliwego rozpatrzenia sprawy i sądowej kontroli rozstrzygnięć administracji zostaną zapewnione.</w:t>
      </w:r>
    </w:p>
    <w:p w14:paraId="3FB80DE0" w14:textId="77777777" w:rsidR="00553E48" w:rsidRPr="005C158A" w:rsidRDefault="00553E48" w:rsidP="00553E48">
      <w:pPr>
        <w:spacing w:line="360" w:lineRule="auto"/>
        <w:contextualSpacing/>
        <w:jc w:val="both"/>
        <w:rPr>
          <w:rFonts w:ascii="Arial" w:hAnsi="Arial" w:cs="Arial"/>
          <w:sz w:val="20"/>
          <w:szCs w:val="20"/>
        </w:rPr>
      </w:pPr>
      <w:r w:rsidRPr="005C158A">
        <w:rPr>
          <w:rFonts w:ascii="Arial" w:hAnsi="Arial" w:cs="Arial"/>
          <w:sz w:val="20"/>
          <w:szCs w:val="20"/>
        </w:rPr>
        <w:t xml:space="preserve">Ponadto przyspieszenie prowadzenia postępowania administracyjnego będzie miało pozytywny wpływ na uregulowanie stanu prawnego nieruchomościami, będącymi przedmiotem postępowania, a w konsekwencji może przyczynić się do podniesienia pewności obrotu prawnego nieruchomościami.  </w:t>
      </w:r>
    </w:p>
    <w:p w14:paraId="12F92112" w14:textId="77777777" w:rsidR="00553E48" w:rsidRPr="005C158A" w:rsidRDefault="00553E48" w:rsidP="00553E48">
      <w:pPr>
        <w:spacing w:line="360" w:lineRule="auto"/>
        <w:jc w:val="both"/>
        <w:rPr>
          <w:rFonts w:ascii="Arial" w:hAnsi="Arial" w:cs="Arial"/>
          <w:sz w:val="20"/>
          <w:szCs w:val="20"/>
        </w:rPr>
      </w:pPr>
      <w:r w:rsidRPr="005C158A">
        <w:rPr>
          <w:rFonts w:ascii="Arial" w:hAnsi="Arial" w:cs="Arial"/>
          <w:sz w:val="20"/>
          <w:szCs w:val="20"/>
        </w:rPr>
        <w:t xml:space="preserve">Zasadniczym więc celem przyjętych rozwiązań prawnych w projekcie ustawy jest przede wszystkim przyspieszenie i usprawnienie postępowań administracyjnych, co będzie możliwe m.in. poprzez zniesienie dwuinstancyjności w postępowaniach, których charakter na to pozwala. </w:t>
      </w:r>
    </w:p>
    <w:p w14:paraId="63F80A6F" w14:textId="10FAD128" w:rsidR="00553E48" w:rsidRPr="005C158A" w:rsidRDefault="00553E48" w:rsidP="00553E48">
      <w:pPr>
        <w:spacing w:line="360" w:lineRule="auto"/>
        <w:contextualSpacing/>
        <w:jc w:val="both"/>
        <w:rPr>
          <w:rFonts w:ascii="Arial" w:hAnsi="Arial" w:cs="Arial"/>
          <w:sz w:val="20"/>
          <w:szCs w:val="20"/>
        </w:rPr>
      </w:pPr>
      <w:r w:rsidRPr="005C158A">
        <w:rPr>
          <w:rFonts w:ascii="Arial" w:hAnsi="Arial" w:cs="Arial"/>
          <w:sz w:val="20"/>
          <w:szCs w:val="20"/>
        </w:rPr>
        <w:t>Jednocześnie, po wprowadzeniu zasady, że od decyzji wydanych przez Ministra Finansów nie będzie przysługiwał wniosek o ponowne rozpatrzenie sprawy, podobne rozwiązanie powinno dotyczyć zaskarżalnych w toku postępowania administracyjnego postanowień. W tym zakresie proponuje się dodać dodatkowo ust. 3 w art. 2 ustawy z dnia 9 kwietnia 1968 r. o dokonywaniu w księgach wieczystych wpisów na rzecz Skarbu Państwa w oparciu o międzynarodowe umowy o uregulowaniu roszczeń finansowych.</w:t>
      </w:r>
    </w:p>
    <w:p w14:paraId="53991D17" w14:textId="77777777" w:rsidR="00DC6DF4" w:rsidRPr="005C158A" w:rsidRDefault="00DC6DF4" w:rsidP="00DC6DF4">
      <w:pPr>
        <w:pStyle w:val="Nagwek2"/>
        <w:spacing w:before="120" w:after="120" w:line="360" w:lineRule="auto"/>
        <w:jc w:val="both"/>
        <w:rPr>
          <w:rFonts w:ascii="Arial" w:hAnsi="Arial" w:cs="Arial"/>
          <w:sz w:val="20"/>
          <w:szCs w:val="20"/>
        </w:rPr>
      </w:pPr>
      <w:bookmarkStart w:id="23" w:name="_Toc136602609"/>
      <w:bookmarkStart w:id="24" w:name="_Toc138329748"/>
      <w:r w:rsidRPr="005C158A">
        <w:rPr>
          <w:rFonts w:ascii="Arial" w:hAnsi="Arial" w:cs="Arial"/>
          <w:color w:val="auto"/>
          <w:sz w:val="20"/>
          <w:szCs w:val="20"/>
        </w:rPr>
        <w:t>Ustawa z dnia 6 lipca 1982 r. o księgach wieczystych i hipotece</w:t>
      </w:r>
      <w:bookmarkEnd w:id="23"/>
      <w:bookmarkEnd w:id="24"/>
    </w:p>
    <w:p w14:paraId="6DDB997C" w14:textId="0A89139D" w:rsidR="00DC6DF4" w:rsidRPr="005C158A" w:rsidRDefault="00DC6DF4" w:rsidP="0011422D">
      <w:pPr>
        <w:spacing w:before="120"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Zmiany proponowane w ustawie z dnia 6 lipca 1982 r. o księgach wieczystych i hipotece dotyczą udostępniania Ubezpieczeniowemu Funduszowi Gwarancyjnemu, do realizacji jego zadań ustawowych, informacji gromadzonych w centralnej bazie danych ksiąg wieczystych. W obecnym stanie prawnym UFG może wystąpić do Ministra Sprawiedliwości o zgodę na wyszukiwanie ksiąg wieczystych w centralnej bazie danych ksiąg wieczystych tylko w celu realizacji zadań związanych z obsługą Deweloperskiego Funduszu Gwarancyjnego, określonych w rozdziale 8 ustawy z dnia 20 maja 2021 r. o ochronie praw nabywcy lokalu mieszkalnego lub domu jednorodzinnego oraz Deweloperskim Funduszu Gwarancyjnym. Proponowana zmiana w </w:t>
      </w:r>
      <w:r w:rsidRPr="005C158A">
        <w:rPr>
          <w:rFonts w:ascii="Arial" w:eastAsia="Times New Roman" w:hAnsi="Arial" w:cs="Arial"/>
          <w:b/>
          <w:bCs/>
          <w:sz w:val="20"/>
          <w:szCs w:val="20"/>
          <w:lang w:eastAsia="pl-PL"/>
        </w:rPr>
        <w:t>art. 36</w:t>
      </w:r>
      <w:r w:rsidRPr="005C158A">
        <w:rPr>
          <w:rFonts w:ascii="Arial" w:eastAsia="Times New Roman" w:hAnsi="Arial" w:cs="Arial"/>
          <w:b/>
          <w:bCs/>
          <w:sz w:val="20"/>
          <w:szCs w:val="20"/>
          <w:vertAlign w:val="superscript"/>
          <w:lang w:eastAsia="pl-PL"/>
        </w:rPr>
        <w:t>4</w:t>
      </w:r>
      <w:r w:rsidRPr="005C158A">
        <w:rPr>
          <w:rFonts w:ascii="Arial" w:eastAsia="Times New Roman" w:hAnsi="Arial" w:cs="Arial"/>
          <w:b/>
          <w:bCs/>
          <w:sz w:val="20"/>
          <w:szCs w:val="20"/>
          <w:lang w:eastAsia="pl-PL"/>
        </w:rPr>
        <w:t xml:space="preserve"> ust. 8</w:t>
      </w:r>
      <w:r w:rsidRPr="005C158A">
        <w:rPr>
          <w:rFonts w:ascii="Arial" w:eastAsia="Times New Roman" w:hAnsi="Arial" w:cs="Arial"/>
          <w:sz w:val="20"/>
          <w:szCs w:val="20"/>
          <w:lang w:eastAsia="pl-PL"/>
        </w:rPr>
        <w:t xml:space="preserve"> rozszerza tę możliwość na realizację innych zadań ustawowych UFG dotyczących bezpieczeństwa rynku ubezpieczeniowego. Są one związane przede wszystkim z prowadzeniem, na podstawie art. 102a ustawy z dnia 22 maja 2003 r. o ubezpieczeniach obowiązkowych, Ubezpieczeniowym Funduszu Gwarancyjnym i Polskim Biurze Ubezpieczycieli Komunikacyjnych, informatycznej bazy danych w zakresie niezbędnym do identyfikacji, weryfikacji i przeciwdziałania naruszeniu interesów uczestników rynku ubezpieczeniowego. Baza obejmuje m.in. informacje o umowach ubezpieczenia, których przedmiotem są nieruchomości, a także o wypłaconych </w:t>
      </w:r>
      <w:r w:rsidRPr="005C158A">
        <w:rPr>
          <w:rFonts w:ascii="Arial" w:hAnsi="Arial" w:cs="Arial"/>
          <w:sz w:val="20"/>
          <w:szCs w:val="20"/>
        </w:rPr>
        <w:t>odszkodowaniach</w:t>
      </w:r>
      <w:r w:rsidRPr="005C158A">
        <w:rPr>
          <w:rFonts w:ascii="Arial" w:eastAsia="Times New Roman" w:hAnsi="Arial" w:cs="Arial"/>
          <w:sz w:val="20"/>
          <w:szCs w:val="20"/>
          <w:lang w:eastAsia="pl-PL"/>
        </w:rPr>
        <w:t xml:space="preserve"> i świadczeniach z tytułu tych ubezpieczeń. Jednym z celów jej prowadzenia jest identyfikacja i weryfikacja zjawisk przestępczości ubezpieczeniowej. Możliwość pozyskania, w drodze usług systemowych, danych o statusie prawnym nieruchomości, gromadzonych w księgach wieczystych, przyczyni się do bardziej efektywnej realizacji tych zadań. Zmiana w </w:t>
      </w:r>
      <w:r w:rsidRPr="005C158A">
        <w:rPr>
          <w:rFonts w:ascii="Arial" w:eastAsia="Times New Roman" w:hAnsi="Arial" w:cs="Arial"/>
          <w:b/>
          <w:bCs/>
          <w:sz w:val="20"/>
          <w:szCs w:val="20"/>
          <w:lang w:eastAsia="pl-PL"/>
        </w:rPr>
        <w:t>art. 36</w:t>
      </w:r>
      <w:r w:rsidRPr="005C158A">
        <w:rPr>
          <w:rFonts w:ascii="Arial" w:eastAsia="Times New Roman" w:hAnsi="Arial" w:cs="Arial"/>
          <w:b/>
          <w:bCs/>
          <w:sz w:val="20"/>
          <w:szCs w:val="20"/>
          <w:vertAlign w:val="superscript"/>
          <w:lang w:eastAsia="pl-PL"/>
        </w:rPr>
        <w:t>5</w:t>
      </w:r>
      <w:r w:rsidRPr="005C158A">
        <w:rPr>
          <w:rFonts w:ascii="Arial" w:eastAsia="Times New Roman" w:hAnsi="Arial" w:cs="Arial"/>
          <w:b/>
          <w:bCs/>
          <w:sz w:val="20"/>
          <w:szCs w:val="20"/>
          <w:lang w:eastAsia="pl-PL"/>
        </w:rPr>
        <w:t xml:space="preserve"> ust. 3</w:t>
      </w:r>
      <w:r w:rsidRPr="005C158A">
        <w:rPr>
          <w:rFonts w:ascii="Arial" w:eastAsia="Times New Roman" w:hAnsi="Arial" w:cs="Arial"/>
          <w:sz w:val="20"/>
          <w:szCs w:val="20"/>
          <w:lang w:eastAsia="pl-PL"/>
        </w:rPr>
        <w:t xml:space="preserve"> likwiduje niespójność obecnych przepisów polegającą na pominięciu Ubezpieczeniowego Funduszu Gwarancyjnego w katalogu podmiotów wskazanych w tym przepisie, pomimo że jest on wskazany w art. 36</w:t>
      </w:r>
      <w:r w:rsidRPr="005C158A">
        <w:rPr>
          <w:rFonts w:ascii="Arial" w:eastAsia="Times New Roman" w:hAnsi="Arial" w:cs="Arial"/>
          <w:sz w:val="20"/>
          <w:szCs w:val="20"/>
          <w:vertAlign w:val="superscript"/>
          <w:lang w:eastAsia="pl-PL"/>
        </w:rPr>
        <w:t>4 </w:t>
      </w:r>
      <w:r w:rsidRPr="005C158A">
        <w:rPr>
          <w:rFonts w:ascii="Arial" w:eastAsia="Times New Roman" w:hAnsi="Arial" w:cs="Arial"/>
          <w:sz w:val="20"/>
          <w:szCs w:val="20"/>
          <w:lang w:eastAsia="pl-PL"/>
        </w:rPr>
        <w:t>ust. 8 tej ustawy.</w:t>
      </w:r>
    </w:p>
    <w:p w14:paraId="5635CC12" w14:textId="11D32FC0" w:rsidR="00A9475E" w:rsidRPr="005C158A" w:rsidRDefault="00616C5E" w:rsidP="00401710">
      <w:pPr>
        <w:pStyle w:val="Nagwek2"/>
        <w:spacing w:before="120" w:after="120" w:line="360" w:lineRule="auto"/>
        <w:jc w:val="both"/>
        <w:rPr>
          <w:rFonts w:ascii="Arial" w:hAnsi="Arial" w:cs="Arial"/>
          <w:color w:val="auto"/>
          <w:sz w:val="20"/>
          <w:szCs w:val="20"/>
        </w:rPr>
      </w:pPr>
      <w:bookmarkStart w:id="25" w:name="_Toc138329749"/>
      <w:r w:rsidRPr="005C158A">
        <w:rPr>
          <w:rFonts w:ascii="Arial" w:hAnsi="Arial" w:cs="Arial"/>
          <w:color w:val="auto"/>
          <w:sz w:val="20"/>
          <w:szCs w:val="20"/>
        </w:rPr>
        <w:lastRenderedPageBreak/>
        <w:t>U</w:t>
      </w:r>
      <w:r w:rsidR="00A9475E" w:rsidRPr="005C158A">
        <w:rPr>
          <w:rFonts w:ascii="Arial" w:hAnsi="Arial" w:cs="Arial"/>
          <w:color w:val="auto"/>
          <w:sz w:val="20"/>
          <w:szCs w:val="20"/>
        </w:rPr>
        <w:t>staw</w:t>
      </w:r>
      <w:r w:rsidRPr="005C158A">
        <w:rPr>
          <w:rFonts w:ascii="Arial" w:hAnsi="Arial" w:cs="Arial"/>
          <w:color w:val="auto"/>
          <w:sz w:val="20"/>
          <w:szCs w:val="20"/>
        </w:rPr>
        <w:t>a</w:t>
      </w:r>
      <w:r w:rsidR="00A9475E" w:rsidRPr="005C158A">
        <w:rPr>
          <w:rFonts w:ascii="Arial" w:hAnsi="Arial" w:cs="Arial"/>
          <w:color w:val="auto"/>
          <w:sz w:val="20"/>
          <w:szCs w:val="20"/>
        </w:rPr>
        <w:t xml:space="preserve"> z dnia 26 października 1982 r. o wychowaniu w trzeźwości i przeciwdziałaniu alkoholizmowi</w:t>
      </w:r>
      <w:bookmarkEnd w:id="25"/>
    </w:p>
    <w:p w14:paraId="758E158B" w14:textId="39CF7D27" w:rsidR="00A9475E" w:rsidRPr="005C158A" w:rsidRDefault="00A9475E" w:rsidP="00401710">
      <w:pPr>
        <w:spacing w:before="120" w:after="120" w:line="360" w:lineRule="auto"/>
        <w:jc w:val="both"/>
        <w:rPr>
          <w:rFonts w:ascii="Arial" w:hAnsi="Arial" w:cs="Arial"/>
          <w:sz w:val="20"/>
          <w:szCs w:val="20"/>
        </w:rPr>
      </w:pPr>
      <w:r w:rsidRPr="005C158A">
        <w:rPr>
          <w:rFonts w:ascii="Arial" w:hAnsi="Arial" w:cs="Arial"/>
          <w:sz w:val="20"/>
          <w:szCs w:val="20"/>
        </w:rPr>
        <w:t>1)</w:t>
      </w:r>
      <w:r w:rsidRPr="005C158A">
        <w:rPr>
          <w:rFonts w:ascii="Arial" w:hAnsi="Arial" w:cs="Arial"/>
          <w:sz w:val="20"/>
          <w:szCs w:val="20"/>
        </w:rPr>
        <w:tab/>
      </w:r>
      <w:r w:rsidR="007C2869" w:rsidRPr="005C158A">
        <w:rPr>
          <w:rFonts w:ascii="Arial" w:hAnsi="Arial" w:cs="Arial"/>
          <w:sz w:val="20"/>
          <w:szCs w:val="20"/>
        </w:rPr>
        <w:t>Zmiany w zakresie</w:t>
      </w:r>
      <w:r w:rsidRPr="005C158A">
        <w:rPr>
          <w:rFonts w:ascii="Arial" w:hAnsi="Arial" w:cs="Arial"/>
          <w:sz w:val="20"/>
          <w:szCs w:val="20"/>
        </w:rPr>
        <w:t xml:space="preserve"> dokumentacji wymaganej przy przeniesieniu i potwierdzeniu możliwości wykonywania decyzji - zezwolenia alkoholowego</w:t>
      </w:r>
      <w:r w:rsidR="00495A7E" w:rsidRPr="005C158A">
        <w:rPr>
          <w:rFonts w:ascii="Arial" w:hAnsi="Arial" w:cs="Arial"/>
          <w:sz w:val="20"/>
          <w:szCs w:val="20"/>
        </w:rPr>
        <w:t>.</w:t>
      </w:r>
    </w:p>
    <w:p w14:paraId="66DD6690" w14:textId="4AAA143C" w:rsidR="00A9475E" w:rsidRPr="005C158A" w:rsidRDefault="00A9475E" w:rsidP="00401710">
      <w:pPr>
        <w:spacing w:before="120" w:after="120" w:line="360" w:lineRule="auto"/>
        <w:jc w:val="both"/>
        <w:rPr>
          <w:rFonts w:ascii="Arial" w:hAnsi="Arial" w:cs="Arial"/>
          <w:sz w:val="20"/>
          <w:szCs w:val="20"/>
        </w:rPr>
      </w:pPr>
      <w:r w:rsidRPr="005C158A">
        <w:rPr>
          <w:rFonts w:ascii="Arial" w:hAnsi="Arial" w:cs="Arial"/>
          <w:sz w:val="20"/>
          <w:szCs w:val="20"/>
        </w:rPr>
        <w:t>Ustawą z dnia 5 lipca 2018 r. o zarządzie sukcesyjnym przedsiębiorstwem osoby fizycznej i innych ułatwieniach związanych z sukcesją przedsiębiorstw (dalej: ustawa o zarządzie sukcesyjnym) wprowadzono regulacje dotyczące przenoszenia na następcę prawnego decyzji oraz potwierdzania możliwości wykonywania decyzji przez zarządcę sukcesyjnego. W przepisach art. 48, art. 42 i art. 45c powyższej ustawy wskazano kryteria, które muszą być spełnione, by dana decyzja administracyjna mogła być nadal wykonywana po śmierci przedsiębiorcy.</w:t>
      </w:r>
    </w:p>
    <w:p w14:paraId="56B47FE6" w14:textId="0BFD78D8" w:rsidR="00A9475E" w:rsidRPr="005C158A" w:rsidRDefault="00A9475E" w:rsidP="00401710">
      <w:pPr>
        <w:spacing w:before="120" w:after="120" w:line="360" w:lineRule="auto"/>
        <w:jc w:val="both"/>
        <w:rPr>
          <w:rFonts w:ascii="Arial" w:hAnsi="Arial" w:cs="Arial"/>
          <w:sz w:val="20"/>
          <w:szCs w:val="20"/>
        </w:rPr>
      </w:pPr>
      <w:r w:rsidRPr="005C158A">
        <w:rPr>
          <w:rFonts w:ascii="Arial" w:hAnsi="Arial" w:cs="Arial"/>
          <w:sz w:val="20"/>
          <w:szCs w:val="20"/>
        </w:rPr>
        <w:t>Jednakże spełnienie niektórych kryteriów budzi wiele wątpliwości w przypadku zezwoleń na obrót hurtowy w kraju napojami alkoholowymi oraz zezwoleń na sprzedaż napojów alkoholowych, o których mowa odpowiednio w art. 9 i art. 18 ustawy o wychowaniu w trzeźwości i przeciwdziałaniu alkoholizmowi, zwanych dalej zezwoleniami alkoholowymi. Urzędy wielokrotnie miały wątpliwości, czy od zarządcy sukcesyjnego i następców prawnych przedsiębiorcy należy wymagać przedstawienia tytułu prawnego do lokalu, zgody administratora budynku, decyzji państwowego inspektora sanitarnego o</w:t>
      </w:r>
      <w:r w:rsidR="00295358" w:rsidRPr="005C158A">
        <w:rPr>
          <w:rFonts w:ascii="Arial" w:hAnsi="Arial" w:cs="Arial"/>
          <w:sz w:val="20"/>
          <w:szCs w:val="20"/>
        </w:rPr>
        <w:t> </w:t>
      </w:r>
      <w:r w:rsidRPr="005C158A">
        <w:rPr>
          <w:rFonts w:ascii="Arial" w:hAnsi="Arial" w:cs="Arial"/>
          <w:sz w:val="20"/>
          <w:szCs w:val="20"/>
        </w:rPr>
        <w:t>zatwierdzeniu zakładu oraz pozytywnej opinii gminnej komisji rozwiązywania problemów alkoholowych o zgodności lokalizacji punktu sprzedaży z uchwałami rady gminy.</w:t>
      </w:r>
    </w:p>
    <w:p w14:paraId="659B6F5F" w14:textId="3023AFC3" w:rsidR="00A9475E" w:rsidRPr="005C158A" w:rsidRDefault="00A9475E" w:rsidP="00401710">
      <w:pPr>
        <w:spacing w:before="120" w:after="120" w:line="360" w:lineRule="auto"/>
        <w:jc w:val="both"/>
        <w:rPr>
          <w:rFonts w:ascii="Arial" w:hAnsi="Arial" w:cs="Arial"/>
          <w:sz w:val="20"/>
          <w:szCs w:val="20"/>
        </w:rPr>
      </w:pPr>
      <w:r w:rsidRPr="005C158A">
        <w:rPr>
          <w:rFonts w:ascii="Arial" w:hAnsi="Arial" w:cs="Arial"/>
          <w:sz w:val="20"/>
          <w:szCs w:val="20"/>
        </w:rPr>
        <w:t>W celu uniknięcia dalszych wątpliwości i odmiennych praktyk w różnych urzędach, proponuje się wprowadzenie regulacji wyłączającej stosowanie niektórych przepisów ustawy o zarządzie sukcesyjnym do przenoszenia i potwierdzania przedmiotowych zezwoleń. Pozwoli to kontynuować działalność po śmierci przedsiębiorcy w dotychczasowym zakresie i na dotychczasowych zasadach, do czasu wygaśnięcia danego zezwolenia alkoholowego.</w:t>
      </w:r>
    </w:p>
    <w:p w14:paraId="170C8108" w14:textId="77777777" w:rsidR="00A9475E" w:rsidRPr="005C158A" w:rsidRDefault="00A9475E" w:rsidP="00401710">
      <w:pPr>
        <w:spacing w:before="120" w:after="120" w:line="360" w:lineRule="auto"/>
        <w:jc w:val="both"/>
        <w:rPr>
          <w:rFonts w:ascii="Arial" w:hAnsi="Arial" w:cs="Arial"/>
          <w:sz w:val="20"/>
          <w:szCs w:val="20"/>
        </w:rPr>
      </w:pPr>
      <w:r w:rsidRPr="005C158A">
        <w:rPr>
          <w:rFonts w:ascii="Arial" w:hAnsi="Arial" w:cs="Arial"/>
          <w:sz w:val="20"/>
          <w:szCs w:val="20"/>
        </w:rPr>
        <w:t>Należy również zaznaczyć, że wymieniona powyżej dokumentacja jest związana z miejscem prowadzenia działalności, a nie z osobą zmarłego przedsiębiorcy. Oznacza to, że warunki do wykonywania tej działalności na podstawie zezwolenia alkoholowego w dalszym ciągu powinny być spełnione, mimo zmiany osoby wykonującej tę działalność. Regulacja nie wpłynie zatem negatywnie na jakość i bezpieczeństwo działalności w przedmiotowym zakresie.</w:t>
      </w:r>
    </w:p>
    <w:p w14:paraId="55BECA80" w14:textId="77777777" w:rsidR="00A9475E" w:rsidRPr="005C158A" w:rsidRDefault="00A9475E" w:rsidP="00401710">
      <w:pPr>
        <w:spacing w:before="120" w:after="120" w:line="360" w:lineRule="auto"/>
        <w:jc w:val="both"/>
        <w:rPr>
          <w:rFonts w:ascii="Arial" w:hAnsi="Arial" w:cs="Arial"/>
          <w:sz w:val="20"/>
          <w:szCs w:val="20"/>
        </w:rPr>
      </w:pPr>
      <w:r w:rsidRPr="005C158A">
        <w:rPr>
          <w:rFonts w:ascii="Arial" w:hAnsi="Arial" w:cs="Arial"/>
          <w:sz w:val="20"/>
          <w:szCs w:val="20"/>
        </w:rPr>
        <w:t>Powyższa kwestia została analogicznie rozwiązana w przypadku przeniesienia zezwolenia alkoholowego na nabywcę przedsiębiorstwa za życia przedsiębiorcy.</w:t>
      </w:r>
    </w:p>
    <w:p w14:paraId="136B6BFE" w14:textId="698592FA" w:rsidR="00A9475E" w:rsidRPr="005C158A" w:rsidRDefault="00A9475E" w:rsidP="00401710">
      <w:pPr>
        <w:spacing w:before="120" w:after="120" w:line="360" w:lineRule="auto"/>
        <w:jc w:val="both"/>
        <w:rPr>
          <w:rFonts w:ascii="Arial" w:hAnsi="Arial" w:cs="Arial"/>
          <w:sz w:val="20"/>
          <w:szCs w:val="20"/>
        </w:rPr>
      </w:pPr>
      <w:r w:rsidRPr="005C158A">
        <w:rPr>
          <w:rFonts w:ascii="Arial" w:hAnsi="Arial" w:cs="Arial"/>
          <w:sz w:val="20"/>
          <w:szCs w:val="20"/>
        </w:rPr>
        <w:t>2)</w:t>
      </w:r>
      <w:r w:rsidRPr="005C158A">
        <w:rPr>
          <w:rFonts w:ascii="Arial" w:hAnsi="Arial" w:cs="Arial"/>
          <w:sz w:val="20"/>
          <w:szCs w:val="20"/>
        </w:rPr>
        <w:tab/>
      </w:r>
      <w:r w:rsidR="008C7A7C" w:rsidRPr="005C158A">
        <w:rPr>
          <w:rFonts w:ascii="Arial" w:hAnsi="Arial" w:cs="Arial"/>
          <w:sz w:val="20"/>
          <w:szCs w:val="20"/>
        </w:rPr>
        <w:t>Przepisy dotyczące</w:t>
      </w:r>
      <w:r w:rsidRPr="005C158A">
        <w:rPr>
          <w:rFonts w:ascii="Arial" w:hAnsi="Arial" w:cs="Arial"/>
          <w:sz w:val="20"/>
          <w:szCs w:val="20"/>
        </w:rPr>
        <w:t xml:space="preserve"> zmiany składu spółki cywilnej</w:t>
      </w:r>
      <w:r w:rsidR="00096DD8" w:rsidRPr="005C158A">
        <w:rPr>
          <w:rFonts w:ascii="Arial" w:hAnsi="Arial" w:cs="Arial"/>
          <w:sz w:val="20"/>
          <w:szCs w:val="20"/>
        </w:rPr>
        <w:t>.</w:t>
      </w:r>
    </w:p>
    <w:p w14:paraId="3FED1E1B" w14:textId="559BCA6E"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Przedmiotem prezentowanej regulacji jest zmiana w zakresie przesłanki wygaśnięcia zezwolenia na obrót hurtowy oraz detaliczny napojami alkoholowymi wydanego wspólnikom spółki cywilnej, o której mowa w art. 95 ust. 3 pkt 3 oraz w art. 18 ust. 12 pkt 4 ustawy z dnia 26 października 1982 r. o wychowaniu w trzeźwości i przeciwdziałaniu alkoholizmowi. Przesłanka ta dotyczy zmiany składu osobowego wspólników spółki cywilnej. Pojęcie „zmiana składu osobowego spółki cywilnej” jest pojęciem nieostrym, ogólnym i może być następstwem różnych decyzji gospodarczych czy sytuacji </w:t>
      </w:r>
      <w:r w:rsidRPr="005C158A">
        <w:rPr>
          <w:rFonts w:ascii="Arial" w:hAnsi="Arial" w:cs="Arial"/>
          <w:sz w:val="20"/>
          <w:szCs w:val="20"/>
        </w:rPr>
        <w:lastRenderedPageBreak/>
        <w:t xml:space="preserve">życiowych, może być spowodowana np. wstąpieniem do spółki nowego wspólnika, wstąpieniem do spółki spadkobiercy na podstawie art. 872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wystąpieniem wspólnika, czy też śmiercią wspólnika. </w:t>
      </w:r>
    </w:p>
    <w:p w14:paraId="06A8CB34"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W obecnym stanie prawnym każda zmiana składu osobowego spółki cywilnej, powoduje, że zezwolenie (jedna wspólna decyzja) udzielone wspólnikom spółki cywilnej wygasa z mocy prawa, niezależnie od powodu zmiany składu osobowego. Przepis w tym zakresie jest bezwzględny. Nie przewiduje wyjątków. </w:t>
      </w:r>
    </w:p>
    <w:p w14:paraId="148831C1" w14:textId="3FC827F3"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Proponuje się wprowadzenie zmiany, zgodnie z którą wygaśnięcie zezwolenia nastąpi jedynie w takiej sytuacji, gdy zmiana składu osobowego spółki cywilnej będzie skutkowała definitywnym rozwiązaniem spółki. W praktyce będzie chodziło głównie o takie sytuacje, w których na skutek zmiany składu osobowego pozostawałby w spółce wyłącznie jeden wspólnik (z zastrzeżeniem przypadku, gdy drugi wspólnik umiera i ustanowiono zarząd sukcesyjny), co w praktyce uniemożliwia dalsze prowadzenie spółki cywilnej (zgodnie z art. 860 § 1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przez umowę spółki wspólnicy zobowiązują się dążyć do osiągnięcia wspólnego celu gospodarczego przez działanie w sposób oznaczony, w szczególności przez wniesienie wkładów). Natomiast w przypadku zmian w składzie osobowym spółki cywilnej, innych jak wskazana powyżej (np. wstąpienie nowego wspólnika na podstawie art. 872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wydane uprzednio zezwolenie na obrót napojami alkoholowymi nie wygaśnie. </w:t>
      </w:r>
    </w:p>
    <w:p w14:paraId="47E984DE"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Należy podkreślić, że proponowana regulacja ma na celu uproszczenie i ułatwienie prowadzenia działalności gospodarczej w Polsce przez przedsiębiorców, którzy są wspólnikami spółek cywilnych. Propozycja ta, jest odpowiedzią na postulaty przedsiębiorców - wspólników spółek cywilnych, wykonujących działalność gospodarczą w zakresie obrotu napojami alkoholowymi. Obecna regulacja, przewidująca bezwzględne wygaśnięcie zezwolenia w przypadku zmiany składu osobowego spółki cywilnej może stanowić istotne utrudnienie w wykonywaniu działalności gospodarczej. Dlatego w ocenie projektodawcy, zaproponowane rozwiązane ma przeciwdziałać takiemu stanowi rzeczy, nie narażając tym samym wspólników na negatywne konsekwencje. Brak zezwolenia wyłącza bowiem możliwość wykonywania podjętej działalności regulowanej w zakresie uzyskanego i opłaconego uprzednio zezwolenia na obrót napojami alkoholowymi. Wygaśnięcie zezwolenia powoduje więc konieczność ubiegania się o wydanie nowego zezwolenie i uiszczenie wymaganej opłaty. W przypadku zezwoleń na obrót hurtowy wysokość opłaty wynosi 22 500 zł. </w:t>
      </w:r>
    </w:p>
    <w:p w14:paraId="649B04A0"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Projektowane rozwiązane ma zapewnić przedsiębiorcom stabilność, pewność, ciągłość oraz przewidywalność podjętej działalności gospodarczej. Możliwość kontynuacji rozpoczętej działalności z pewnością jest działaniem, które ma celu wsparcie przedsiębiorców. W ocenie projektodawcy, przedsiębiorcy pomimo tego, że współdziałają w ramach umowy spółki cywilnej winni być traktowani w ten sam sposób jak inni przedsiębiorcy działający w innych formach prawnych, którzy np. wskutek przekształcenia się w spółkę kapitałową nadal wykonują (kontynuują) podjętą działalność na podstawie uprzednio wydanego zezwolenia na obrót napojami alkoholowymi. Co do zasady bowiem spółka przekształcona pozostaje podmiotem w szczególności zezwoleń, koncesji oraz ulg, które zostały przyznane spółce przed jej przekształceniem. Dotyczy to też sytuacji łączenia i podziału spółek. Na spółkę przejmującą albo spółkę nowo zawiązaną przechodzą bowiem – co do zasady – z dniem połączenia w szczególności zezwolenia, koncesje oraz ulgi, które zostały przyznane spółce przejmowanej albo którejkolwiek ze spółek łączących się przez zawiązanie nowej spółki. Na spółkę </w:t>
      </w:r>
      <w:r w:rsidRPr="005C158A">
        <w:rPr>
          <w:rFonts w:ascii="Arial" w:hAnsi="Arial" w:cs="Arial"/>
          <w:sz w:val="20"/>
          <w:szCs w:val="20"/>
        </w:rPr>
        <w:lastRenderedPageBreak/>
        <w:t>przejmującą lub spółkę nowo zawiązaną powstałą w związku z podziałem przechodzą z kolei z dniem podziału bądź z dniem wydzielenia w szczególności zezwolenia, koncesje oraz ulgi, pozostające w związku z przydzielonymi jej w planie podziału składnikami majątku spółki dzielonej, a które zostały przyznane spółce dzielonej.</w:t>
      </w:r>
    </w:p>
    <w:p w14:paraId="2A0D4F02"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Odmienne podejście od zaproponowanego, mogłoby być postrzegane jako działanie dyskryminujące przedsiębiorców – wspólników spółek cywilnych. </w:t>
      </w:r>
    </w:p>
    <w:p w14:paraId="5B9CD43F" w14:textId="2951A05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Zmodyfikowanie przesłanki – zmiany składu osobowego wspólników spółki cywilnej, w proponowanym brzmieniu spowoduje, że uprzednio wydane wspólnikom spółki cywilnej zezwolenie, pomimo dokonania zmian w składzie osobowym spółki będzie nadal funkcjonowało w obrocie prawnym (o ile spółka nie została rozwiązana), a przedsiębiorcy będą mogli wykonywaną dotychczas w ramach spółki cywilnej działalność kontynuować. Zmianę składu osobowego w spółce cywilnej można z kolei odnotować w trybie np. art. 155 </w:t>
      </w:r>
      <w:r w:rsidR="007E23EC" w:rsidRPr="005C158A">
        <w:rPr>
          <w:rFonts w:ascii="Arial" w:hAnsi="Arial" w:cs="Arial"/>
          <w:sz w:val="20"/>
          <w:szCs w:val="20"/>
        </w:rPr>
        <w:t>Kpa</w:t>
      </w:r>
      <w:r w:rsidRPr="005C158A">
        <w:rPr>
          <w:rFonts w:ascii="Arial" w:hAnsi="Arial" w:cs="Arial"/>
          <w:sz w:val="20"/>
          <w:szCs w:val="20"/>
        </w:rPr>
        <w:t xml:space="preserve"> (tryb nadzwyczajny wzruszenia ostatecznej decyzji administracyjnej). </w:t>
      </w:r>
    </w:p>
    <w:p w14:paraId="2A874A88"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Za powyższym rozwiązaniem przemawiają poglądy doktryny i orzecznictwa. W orzecznictwie zwraca się bowiem uwagę, że przy zmianie wspólnika spółki cywilnej - wstępującego w miejsce ustępującego z tej spółki, nie powstaje nowa spółka, przedsięwzięcie w postaci spółki sprzed zmiany wspólnika funkcjonuje nadal - spółka ta zachowuje ciągłość. Akcentuje się także, że dopuszczalne jest wstąpienie do spółki cywilnej nowego wspólnika i przejęcie przez niego dotychczasowych zobowiązań oraz uprawnień za zgodą pozostałych wspólników, w tym i jednocześnie ustępujących z tej spółki (Wyrok Wojewódzkiego Sądu Administracyjnego w Gorzowie Wielkopolskim z dnia 13 września 2012 r., sygn. akt: II SA/Go 529/12). Naczelny Sąd Administracyjny w wyroku z dnia 14 lipca 2000 r., sygn. akt: I SA/Gd 367/98 podkreślił, że w sytuacji, gdy w miejsce występującego ze spółki wspólnika wstępuje równocześnie jako wspólnik inna osoba, przejmując wszelkie prawa i obowiązki dotychczasowego wspólnika, nie dochodzi do utraty bytu prawnego spółki. Sąd podzielił stanowisko Sądu Najwyższego wyrażone w uchwale z dnia 21 listopada 1995 r. sygn. akt: III CZP 160/95 zgodnie z którym, dopuszczalne jest wstąpienie do spółki cywilnej nowego wspólnika i przyjęcie jego dotychczasowych zobowiązań oraz uprawnień za zgodą pozostałych wspólników oraz występującego ze spółki. (…). Wobec tego, że celem spółki przed i po zmianie jest nieprzerwane prowadzenie przedsiębiorstwa pod niezmienioną firmą, o nie zmienionym profilu działania, posiadającego ten sam majątek i siedzibę, należy wyprowadzić wniosek, że zgodnie z wolą wspólników nie doszło do likwidacji dotychczasowej jednostki organizacyjnej i powstania nowej, lecz wyłącznie do zmiany składu osobowego spółki, która realizuje ten sam wspólny cel gospodarczy. </w:t>
      </w:r>
    </w:p>
    <w:p w14:paraId="23430E7D" w14:textId="3E739E66"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Odnosząc się do pojęcia „celu gospodarczego” warto powołać stanowisko Sądu Apelacyjnego w Gdańsku, który w wyroku z dnia 31 października 2017 roku, sygn. akt: I ACa1186/17, podkreślił, że „cel gospodarczy” należy pojmować szeroko, a więc jako wszelkie dążenie do uzyskania korzyści materialnych w postaci </w:t>
      </w:r>
      <w:hyperlink r:id="rId8" w:history="1">
        <w:r w:rsidRPr="005C158A">
          <w:rPr>
            <w:rFonts w:ascii="Arial" w:hAnsi="Arial" w:cs="Arial"/>
            <w:sz w:val="20"/>
            <w:szCs w:val="20"/>
          </w:rPr>
          <w:t xml:space="preserve">zysku </w:t>
        </w:r>
      </w:hyperlink>
      <w:r w:rsidRPr="005C158A">
        <w:rPr>
          <w:rFonts w:ascii="Arial" w:hAnsi="Arial" w:cs="Arial"/>
          <w:sz w:val="20"/>
          <w:szCs w:val="20"/>
        </w:rPr>
        <w:t xml:space="preserve">albo do osiągnięcia najwyższego, przy danym nakładzie środków, stopnia realizacji wyznaczonego zadania o charakterze majątkowym. Należy go zatem utożsamiać z ogólnie rozumianym motywem racjonalnego gospodarowania we wspólnocie, oznaczającym otrzymanie najlepszego efektu przy maksymalnej oszczędności środków. W świetle powyższego, za zmianą składu osobowego spółki cywilnej wcale nie musi podążać zmiana dotychczasowego celu gospodarczego </w:t>
      </w:r>
      <w:r w:rsidRPr="005C158A">
        <w:rPr>
          <w:rFonts w:ascii="Arial" w:hAnsi="Arial" w:cs="Arial"/>
          <w:sz w:val="20"/>
          <w:szCs w:val="20"/>
        </w:rPr>
        <w:lastRenderedPageBreak/>
        <w:t xml:space="preserve">spółki. Cel w dalszym ciągu może być (i z reguły będzie) ten sam – prowadzenie działalności regulowanej w zakresie obrotu hurtowego tudzież detalicznego napojami alkoholowymi. Powyższe jest także zgodne z pojawiającymi się poglądami doktryny, w której zwraca się uwagę, że wypowiedzenie udziału w spółce cywilnej prowadzi do jej rozwiązania wyłącznie w  wypadku, gdy jest dwóch wspólników (spółka cywilna dwuosobowa). W innych sytuacjach, a więc wtedy gdy wspólników jest więcej niż dwóch, wypowiedzenie dokonane przez jednego ze wspólników powoduje jedynie ustanie jego członkostwa, a w konsekwencji jedynie przekształcenie stosunku spółki (Art. 869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T. II red. Pietrzykowski 2021, wyd. 10). Nie powoduje to jednak ustania bytu prawnego spółki cywilnej i jej automatycznego rozwiązania czy likwidacji.</w:t>
      </w:r>
    </w:p>
    <w:p w14:paraId="5E8F8509" w14:textId="04A677C1"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Możliwość zmiany składu osobowego spółki cywilnej przewidują także przepisy ustawy – Kodeks cywilny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Zgodnie z art. 869 § 1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jeżeli spółka została zawarta na czas nieoznaczony, każdy wspólnik może z niej wystąpić wypowiadając swój udział na trzy miesiące naprzód na koniec roku obrachunkowego. Przepisy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nie przewidują natomiast, że zmiana składu osobowego spółki prowadzi do automatycznej likwidacji spółki cywilnej (utraty jej bytu prawnego).</w:t>
      </w:r>
    </w:p>
    <w:p w14:paraId="42EF89E1"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Zasadniczo także śmierć jednego wspólnika spółki cywilnej nie stanowi przyczyny rozwiązania spółki. Taka spółka istnieje nadal, chyba, że jej skład był wyłącznie dwuosobowy. Jednak również w takim przypadku art. 48 ust. 1 ustawy z dnia 5 lipca 2018 r. o zarządzie sukcesyjnym przedsiębiorstwem osoby fizycznej i innych ułatwieniach związanych z sukcesją przedsiębiorstw wskazuje, że w przypadku gdy z powodu śmierci wspólnika w spółce cywilnej pozostaje tylko jeden wspólnik, spółka ta nie ulega rozwiązaniu, o ile został ustanowiony zarząd sukcesyjny.</w:t>
      </w:r>
    </w:p>
    <w:p w14:paraId="7A894DE2" w14:textId="7D61D96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Umowa spółki cywilnej może przewidywać, że spółka cywilna po śmierci wspólnika będzie nadal kontynuowana ze spadkobiercami tego wspólnika. Dlatego nie powinna ona powodować automatycznej likwidacji działalności spółki i zmuszać wspólników do jej zakończenia. Kodeks cywilny zawiera w tym zakresie szczególną regulację pozwalającą spadkobiercom wspólnika spółki cywilnej na wejście do spółki w jego miejsce. Wystarczy w tym zakresie odpowiednie zastrzeżenie (w umowie spółki albo w uchwale wspólników). Jest ona normowana w art. 872 </w:t>
      </w:r>
      <w:proofErr w:type="spellStart"/>
      <w:r w:rsidR="007E23EC" w:rsidRPr="005C158A">
        <w:rPr>
          <w:rFonts w:ascii="Arial" w:hAnsi="Arial" w:cs="Arial"/>
          <w:sz w:val="20"/>
          <w:szCs w:val="20"/>
        </w:rPr>
        <w:t>Kc</w:t>
      </w:r>
      <w:proofErr w:type="spellEnd"/>
      <w:r w:rsidRPr="005C158A">
        <w:rPr>
          <w:rFonts w:ascii="Arial" w:hAnsi="Arial" w:cs="Arial"/>
          <w:sz w:val="20"/>
          <w:szCs w:val="20"/>
        </w:rPr>
        <w:t xml:space="preserve">. Zgodnie z powołanym przepisem, można zastrzec, że spadkobiercy wspólnika wejdą do spółki na jego miejsce. W wypadku takim powinni oni wskazać spółce jedną osobę, która będzie wykonywała ich prawa. Dopóki to nie nastąpi, pozostali wspólnicy mogą sami podejmować wszelkie czynności w zakresie prowadzenia spraw spółki. Natomiast jeśli został ustanowiony zarząd sukcesyjny, prawa spadkobierców w spółce wykonuje zarządca sukcesyjny. W takim przypadku zarządca sukcesyjny prowadzi sprawy spółki oraz reprezentuje ją na zewnątrz na takich zasadach, jak wcześniej obowiązywały zmarłego wspólnika. </w:t>
      </w:r>
    </w:p>
    <w:p w14:paraId="007DCC72"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Z kolei w przypadku braku powyższego zastrzeżenia w umowie spółki, jeśli ustanowiono zarząd sukcesyjny to spadkobiercy wspólnika wchodzą na jego miejsce, jeżeli pozostali wspólnicy wyrażą na to zgodę. W takim przypadku również nie dojdzie do rozwiązania spółki cywilnej.</w:t>
      </w:r>
    </w:p>
    <w:p w14:paraId="7518CFE8"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Skoro ustawodawca dopuszcza możliwość dokonywania zmian w składzie osobowym spółki cywilnej, traktowanie jej w odmienny sposób jak spółek prawa handlowego (w ich przypadku zezwolenia nie wygasają w przypadku zmiany formy prawnej), może być postrzegane jako działanie dyskryminujące spółki cywilne (wspólników - przedsiębiorców) w obrocie gospodarczym. W świetle powyższego oraz </w:t>
      </w:r>
      <w:r w:rsidRPr="005C158A">
        <w:rPr>
          <w:rFonts w:ascii="Arial" w:hAnsi="Arial" w:cs="Arial"/>
          <w:sz w:val="20"/>
          <w:szCs w:val="20"/>
        </w:rPr>
        <w:lastRenderedPageBreak/>
        <w:t xml:space="preserve">kierując się zasadą równością przedsiębiorców wykonujących na terytorium RP działalność gospodarczą, wprowadzenie niniejszej regulacji do obrotu prawnego wydaje się być w pełni uzasadnione i konieczne. </w:t>
      </w:r>
    </w:p>
    <w:p w14:paraId="2701A9FA" w14:textId="77777777" w:rsidR="00850A25" w:rsidRPr="005C158A" w:rsidRDefault="00850A25" w:rsidP="00401710">
      <w:pPr>
        <w:spacing w:before="120" w:after="120" w:line="360" w:lineRule="auto"/>
        <w:jc w:val="both"/>
        <w:rPr>
          <w:rFonts w:ascii="Arial" w:hAnsi="Arial" w:cs="Arial"/>
          <w:sz w:val="20"/>
          <w:szCs w:val="20"/>
        </w:rPr>
      </w:pPr>
    </w:p>
    <w:p w14:paraId="42501901" w14:textId="3B7EC8BF" w:rsidR="009B03A1" w:rsidRPr="005C158A" w:rsidRDefault="00855C56" w:rsidP="009B03A1">
      <w:pPr>
        <w:pStyle w:val="Nagwek2"/>
        <w:spacing w:before="120" w:after="120" w:line="360" w:lineRule="auto"/>
        <w:jc w:val="both"/>
        <w:rPr>
          <w:rFonts w:ascii="Arial" w:hAnsi="Arial" w:cs="Arial"/>
          <w:color w:val="auto"/>
          <w:sz w:val="20"/>
          <w:szCs w:val="20"/>
        </w:rPr>
      </w:pPr>
      <w:bookmarkStart w:id="26" w:name="_Toc138329750"/>
      <w:r w:rsidRPr="005C158A">
        <w:rPr>
          <w:rFonts w:ascii="Arial" w:hAnsi="Arial" w:cs="Arial"/>
          <w:color w:val="auto"/>
          <w:sz w:val="20"/>
          <w:szCs w:val="20"/>
        </w:rPr>
        <w:t>Ustawa</w:t>
      </w:r>
      <w:r w:rsidR="004B5208" w:rsidRPr="005C158A">
        <w:rPr>
          <w:rFonts w:ascii="Arial" w:hAnsi="Arial" w:cs="Arial"/>
          <w:color w:val="auto"/>
          <w:sz w:val="20"/>
          <w:szCs w:val="20"/>
        </w:rPr>
        <w:t xml:space="preserve"> z dnia 15 listopada 1984 r. o podatku rolnym</w:t>
      </w:r>
      <w:bookmarkEnd w:id="26"/>
    </w:p>
    <w:p w14:paraId="5B936C78" w14:textId="77777777" w:rsidR="00850A25" w:rsidRPr="005C158A" w:rsidRDefault="00850A25" w:rsidP="0011422D">
      <w:pPr>
        <w:spacing w:before="120" w:after="120" w:line="360" w:lineRule="auto"/>
        <w:jc w:val="both"/>
        <w:rPr>
          <w:rFonts w:ascii="Arial" w:hAnsi="Arial" w:cs="Arial"/>
          <w:sz w:val="20"/>
          <w:szCs w:val="20"/>
        </w:rPr>
      </w:pPr>
      <w:r w:rsidRPr="005C158A">
        <w:rPr>
          <w:rFonts w:ascii="Arial" w:hAnsi="Arial" w:cs="Arial"/>
          <w:sz w:val="20"/>
          <w:szCs w:val="20"/>
        </w:rPr>
        <w:t>Rozporządzenie Komisji (UE) nr 702/2014 r. 25 czerwca 2014 r. uznające niektóre kategorie pomocy w sektorach rolnym i leśnym oraz na obszarach wiejskich za zgodne z rynkiem wewnętrznym w zastosowaniu art. 107 i 108 Traktatu o funkcjonowaniu Unii Europejskiej (Dz. Urz. UE L 193 z 01.07.2014, str.1) mogło być stosowne do dnia 31 grudnia 2022 r. W dniu 1 stycznia 2023 r. weszło w życie rozporządzenie Komisji (UE) nr 2022/2472 z dnia 14 grudnia 2022 r. uznające niektóre kategorie pomocy w sektorach rolnym i leśnym oraz na obszarach wiejskich za zgodne z rynkiem wewnętrznym w zastosowaniu art. 107 i 108 Traktatu o funkcjonowaniu Unii Europejskiej (Dz. Urz. UE L 327 z 21.12.2022, str. 1). Na podstawie art. 63 ust. 4 w/w rozporządzenia nr 2022/2472 programy pomocy realizowane zgodnie z rozporządzeniem nr702/2014 mogą być finansowane do końca czerwca 2023 r.</w:t>
      </w:r>
    </w:p>
    <w:p w14:paraId="7CBA0860" w14:textId="77777777" w:rsidR="004176A8" w:rsidRPr="004176A8" w:rsidRDefault="004176A8" w:rsidP="004176A8">
      <w:pPr>
        <w:pStyle w:val="Nagwek2"/>
        <w:spacing w:before="120" w:after="120" w:line="360" w:lineRule="auto"/>
        <w:jc w:val="both"/>
        <w:rPr>
          <w:rFonts w:ascii="Arial" w:hAnsi="Arial" w:cs="Arial"/>
          <w:color w:val="auto"/>
          <w:sz w:val="20"/>
          <w:szCs w:val="20"/>
        </w:rPr>
      </w:pPr>
      <w:bookmarkStart w:id="27" w:name="mip64314216"/>
      <w:bookmarkStart w:id="28" w:name="mip49476195"/>
      <w:bookmarkStart w:id="29" w:name="_Toc138329751"/>
      <w:bookmarkEnd w:id="27"/>
      <w:bookmarkEnd w:id="28"/>
      <w:r w:rsidRPr="004176A8">
        <w:rPr>
          <w:rFonts w:ascii="Arial" w:hAnsi="Arial" w:cs="Arial"/>
          <w:color w:val="auto"/>
          <w:sz w:val="20"/>
          <w:szCs w:val="20"/>
        </w:rPr>
        <w:t>Ustawa z dnia 22 marca 1989 r. o rzemiośle</w:t>
      </w:r>
      <w:bookmarkEnd w:id="29"/>
    </w:p>
    <w:p w14:paraId="4387862F" w14:textId="118EC834"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Ustawa o rzemiośle</w:t>
      </w:r>
      <w:r>
        <w:rPr>
          <w:rFonts w:ascii="Arial" w:hAnsi="Arial" w:cs="Arial"/>
          <w:sz w:val="20"/>
          <w:szCs w:val="20"/>
        </w:rPr>
        <w:t xml:space="preserve">, regulująca zasady funkcjonowania rzemiosła, </w:t>
      </w:r>
      <w:r w:rsidRPr="004176A8">
        <w:rPr>
          <w:rFonts w:ascii="Arial" w:hAnsi="Arial" w:cs="Arial"/>
          <w:sz w:val="20"/>
          <w:szCs w:val="20"/>
        </w:rPr>
        <w:t>była wielokrotnie nowelizowana. Ostatnią modyfikację przeszła 1 stycznia 2020 r. w związku z wejściem w życie ustawy z dnia 31 lipca 2019 r. o zmianie niektórych ustaw w celu ograniczenia obciążeń regulacyjnych</w:t>
      </w:r>
      <w:r>
        <w:rPr>
          <w:rFonts w:ascii="Arial" w:hAnsi="Arial" w:cs="Arial"/>
          <w:sz w:val="20"/>
          <w:szCs w:val="20"/>
        </w:rPr>
        <w:t>.</w:t>
      </w:r>
      <w:r w:rsidRPr="004176A8">
        <w:rPr>
          <w:rFonts w:ascii="Arial" w:hAnsi="Arial" w:cs="Arial"/>
          <w:sz w:val="20"/>
          <w:szCs w:val="20"/>
        </w:rPr>
        <w:t xml:space="preserve"> Wówczas na nowo określono m.in. zakres podmiotowy (definicję rzemieślnika) i zakres przedmiotowy (definicję rzemiosła) ustawy o rzemiośle.</w:t>
      </w:r>
    </w:p>
    <w:p w14:paraId="41339323"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Nowe regulacje okazały się pozytywne dla rzemiosła, jednak dynamiczne zmiany zachodzące w otoczeniu prawnym, gospodarczym i społecznym oraz dotychczasowa praktyka stosowania ustawy o rzemiośle wymuszają potrzebę ich kolejnej nowelizacji poprzez dostosowanie do obecnych realiów społeczno-gospodarczych.</w:t>
      </w:r>
    </w:p>
    <w:p w14:paraId="72A08C4A" w14:textId="09EE6954"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Potrzebę wprowadzenia kolejnych zmian w obowiązującej ustawie o rzemiośle sygnalizują także sami przedsiębiorcy rzemieślnicy, zdaniem których − zgodnie z zasadą wolności gospodarczej zawartą w art. 22 Konstytucji oraz wyrażoną w ustawie z dnia 6 marca 2018 r. – Prawo przedsiębiorców − powinni mieć oni prawo do prowadzenia działalności w dogodnej dla nich formie prawnej, ich zaś wyróżnikiem powinny być wyłącznie kwalifikacje zawodowe w rzemiośle, nabyte na podstawie dowodów kwalifikacji zawodowych w rzemiośle.</w:t>
      </w:r>
    </w:p>
    <w:p w14:paraId="1432E646"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Proponowana obecnie nowelizacja obejmuje wprowadzenie nowych rozwiązań legislacyjnych do ustawy o rzemiośle w zakresie rozszerzenia definicji rzemiosła i rzemieślnika oraz zastosowania środków komunikacji elektronicznej w głosowaniach organów organizacji samorządu gospodarczego rzemiosła.</w:t>
      </w:r>
    </w:p>
    <w:p w14:paraId="7FB8DAC6"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Przyjęcie nowej definicji rzemiosła i rzemieślnika</w:t>
      </w:r>
    </w:p>
    <w:p w14:paraId="71ADEBD7"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 xml:space="preserve">Dynamika zmian i przekształceń form prowadzenia działalności gospodarczej przez mikro-, małych i średnich przedsiębiorców pokazuje, że konieczna jest nowelizacja przepisów ustawy o rzemiośle </w:t>
      </w:r>
      <w:r w:rsidRPr="004176A8">
        <w:rPr>
          <w:rFonts w:ascii="Arial" w:hAnsi="Arial" w:cs="Arial"/>
          <w:sz w:val="20"/>
          <w:szCs w:val="20"/>
        </w:rPr>
        <w:lastRenderedPageBreak/>
        <w:t>w zakresie definicji rzemiosła i rzemieślnika, m.in. poprzez zastosowanie bardziej uniwersalnych kryteriów zaliczania określonych podmiotów do rzemiosła.</w:t>
      </w:r>
    </w:p>
    <w:p w14:paraId="383D9882"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Aktualne przepisy ustawy o rzemiośle umożliwiają uzyskanie statusu rzemieślnika przez niektóre spółki prawa handlowego (np. przez spółkę jawną, spółkę komandytową, spółkę komandytowo-akcyjną czy jednoosobową spółkę kapitałową powstałą w wyniku przekształcenia przedsiębiorcy będącego osobą fizyczną, wykonującego we własnym imieniu działalność gospodarczą z wykorzystaniem zawodowych kwalifikacji i pracy własnej). Wymagają one jednak, aby wszyscy wspólnicy spółki posiadali kwalifikacje zawodowe w rzemiośle, nabyte w postaci dyplomu mistrza, świadectwa czeladniczego lub robotnika wykwalifikowanego w zawodzie odpowiadającym danemu rodzajowi rzemiosła.</w:t>
      </w:r>
    </w:p>
    <w:p w14:paraId="2E108161"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Praktyka stosowania przepisów ustawy o rzemiośle pokazała, że przyjęte rozwiązania są w tym zakresie niewystarczające. Problem ten dotyczy przede wszystkim spółek z ograniczoną odpowiedzialnością jako coraz powszechniejszej formy prowadzenia działalności gospodarczej. Ustawowe ograniczenie w zakresie możliwości zaliczenia do rzemiosła jedynie wskazanych w ustawie o rzemiośle spółek prawa handlowego − zdaniem środowiska rzemieślniczego − nie znajduje uzasadnienia.</w:t>
      </w:r>
    </w:p>
    <w:p w14:paraId="4A402B06"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Odpowiadając na potrzeby i oczekiwania środowiska rzemieślniczego, projekt nowelizacji przewiduje maksymalne uproszczenie definicji rzemiosła i rzemieślnika.</w:t>
      </w:r>
    </w:p>
    <w:p w14:paraId="1ABF5548"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W zakresie definicji rzemieślnika proponuje się pozostawienie dotychczasowego kryterium określającego rzemieślnika jako przedsiębiorcę wykonującego działalność gospodarczą z wykorzystaniem kwalifikacji zawodowych w rzemiośle, ale odejście od wymogu posiadania kwalifikacji zawodowych w rzemiośle przez wszystkich wspólników lub akcjonariuszy spółki prawa handlowego.</w:t>
      </w:r>
    </w:p>
    <w:p w14:paraId="3937654D"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Wskazane wyżej wykorzystanie kwalifikacji zawodowych będzie polegać na: a) wykonywaniu rzemiosła przez przedsiębiorcę z wykorzystaniem posiadanych przez niego kwalifikacji zawodowych w rzemiośle lub b) wykorzystaniu przez przedsiębiorcę kwalifikacji zawodowych w rzemiośle, posiadanych przez co najmniej jednego pracownika zatrudnionego przez tego przedsiębiorcę na podstawie stosunku pracy, lub c) wykorzystaniu przez przedsiębiorcę kwalifikacji zawodowych w rzemiośle wspólnika spółki cywilnej będącego osobą fizyczną.</w:t>
      </w:r>
    </w:p>
    <w:p w14:paraId="1D361304"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Przedstawiona propozycja legislacyjna nie przewiduje szczególnych wymagań wobec wspólników lub akcjonariuszy spółek prawa handlowego, które ograniczałyby możliwość uznania tych spółek za rzemieślnika lub wykluczałyby ich z rzemiosła.</w:t>
      </w:r>
    </w:p>
    <w:p w14:paraId="3E844457"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Projekt nowelizacji nie przewiduje również ograniczeń co do wymogu zatrudniania określonej liczby pracowników dysponujących dowodami kwalifikacji zawodowych w rzemiośle, by można było uznać działalność spółek prawa handlowego, w tym spółek kapitałowych, za rzemiosło, definiowane jako wykonywanie działalności gospodarczej w rozumieniu ustawy z dnia 6 marca 2018 r. – Prawo przedsiębiorców z wykorzystaniem kwalifikacji zawodowych w rzemiośle, nabytych na podstawie dowodów kwalifikacji zawodowych w rzemiośle.</w:t>
      </w:r>
    </w:p>
    <w:p w14:paraId="733E86CF"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 xml:space="preserve">Proponowana w nowelizacji definicja rzemieślnika maksymalnie upraszcza jego definicję jako: mikro-, małego i średniego przedsiębiorcy wykonującego rzemiosło, tj. wykonującego działalność gospodarczą </w:t>
      </w:r>
      <w:r w:rsidRPr="004176A8">
        <w:rPr>
          <w:rFonts w:ascii="Arial" w:hAnsi="Arial" w:cs="Arial"/>
          <w:sz w:val="20"/>
          <w:szCs w:val="20"/>
        </w:rPr>
        <w:lastRenderedPageBreak/>
        <w:t>w rozumieniu ustawy z dnia 6 marca 2018 r. − Prawo przedsiębiorców z wykorzystaniem kwalifikacji zawodowych w rzemiośle, nabytych na podstawie dowodów kwalifikacji zawodowych w rzemiośle. Ograniczenie wielkości przedsiębiorcy rzemieślnika do mikro-, małego i średniego przedsiębiorcy jest rozwiązaniem analogicznym do aktualnie obowiązującego.</w:t>
      </w:r>
    </w:p>
    <w:p w14:paraId="40C69ECC"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Nowa definicja rzemieślnika obejmie wszystkie spółki prawa handlowego bez wyjątku, jeśli wykonują działalność gospodarczą z wykorzystaniem kwalifikacji zawodowych w rzemiośle, co umożliwi przedsiębiorcom rzemieślnikom otwarty wybór prawnie dopuszczalnej formy prowadzenia działalności gospodarczej.</w:t>
      </w:r>
    </w:p>
    <w:p w14:paraId="1EC6CBA8"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Propozycja definicji rzemieślnika nie przewiduje, by można było uznać za rzemieślnika przedsiębiorcę, który poza stosunkiem pracy jedynie zleca wykonanie określonych produktów lub usług innym przedsiębiorcom, którzy zatrudniają osoby posiadające kwalifikacje zawodowe w rzemiośle. Aby uznać spółkę prawa handlowego za rzemieślnika i za przedsiębiorcę wykonującego rzemiosło, będzie musiała ona w tym celu zatrudniać pracowników posiadających dowody kwalifikacji zawodowych w rzemiośle poprzez nawiązanie stosunku pracy.</w:t>
      </w:r>
    </w:p>
    <w:p w14:paraId="4B7FB3D0"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Obowiązująca definicja rzemiosła nie obejmuje działalności handlowej, usług hotelarskich, działalności transportowej, usług świadczonych w wykonywaniu wolnych zawodów, usług leczniczych oraz działalności wytwórczej i usługowej artystów plastyków i fotografików.</w:t>
      </w:r>
    </w:p>
    <w:p w14:paraId="7D220CD9"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W projekcie nowelizacji proponuje się utrzymanie regulacji, zgodnie z którą do rzemiosła nie zalicza się działalności transportowej oraz działalności wytwórczej i usługowej artystów plastyków i fotografików, usług hotelowych, a także usług świadczonych w wykonywaniu wolnych zawodów.</w:t>
      </w:r>
    </w:p>
    <w:p w14:paraId="1E53DC51" w14:textId="57589333"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Określenie „wolny zawód” jest zdefiniowane w art. 4 ust. 1 pkt 11) ustawy z 20 listopada 1998 r. o zryczałtowanym podatku dochodowym od niektórych przychodów osiąganych przez osoby fizyczne, w którym ustawodawca enumeratywnie wskazał rodzaje działalności, której wykonywanie jest zaliczane do tej grupy zawodów.</w:t>
      </w:r>
    </w:p>
    <w:p w14:paraId="1237D018"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W odniesieniu do funkcjonującego ograniczenia polegającego na wykluczeniu działalności handlowej z rzemiosła proponuje się utrzymanie tego wykluczenia z wyłączeniem działalności handlowej prowadzonej przez rzemieślników polegającej na sprzedaży wyrobów własnych.</w:t>
      </w:r>
    </w:p>
    <w:p w14:paraId="0236D2D5"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Działalność handlowa to obecnie bardzo często działalność towarzysząca działalności rzemieślników. W obecnych realiach gospodarczych i rynkowych firmy rzemieślnicze − do zapewnienia sobie lepszej pozycji na rynku, poprawy wyników ekonomicznych prowadzonej działalności gospodarczej, jak również uniezależnienia się od praktyk dużych sieci handlowych − zmuszone są do organizacji i prowadzenia sprzedaży wytwarzanych wyrobów. Tworzenie punktów sprzedaży czy sieci sklepów sprzedaży takich wyrobów stało się popularnym rozwiązaniem w zakresie poszukiwania przez rzemieślników form zbytu i pozyskiwania klientów. W ten sposób działalność handlowa rzemieślników stała się immanentnym elementem prowadzonej działalności rzemieślniczej, co powoduje, że wyłączenie tego rodzaju działalności z rzemiosła nie znajduje już uzasadnienia.</w:t>
      </w:r>
    </w:p>
    <w:p w14:paraId="0C42EC01"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 xml:space="preserve">Obecne realia konkurencji wśród przedsiębiorców wymagają nie tylko stosowania różnych form prawnych prowadzenia działalności gospodarczej, ale także zachodzi potrzeba łączenia jej </w:t>
      </w:r>
      <w:r w:rsidRPr="004176A8">
        <w:rPr>
          <w:rFonts w:ascii="Arial" w:hAnsi="Arial" w:cs="Arial"/>
          <w:sz w:val="20"/>
          <w:szCs w:val="20"/>
        </w:rPr>
        <w:lastRenderedPageBreak/>
        <w:t>z działalnością ściśle handlową. Proponowana w tym zakresie nowelizacja przepisów ustawy o rzemiośle będzie odpowiedzią na wynikające z nowej rzeczywistości gospodarczej i społecznej potrzeby rzemiosła, do czego niezbędnym wydaje się uznanie, że domeną rzemiosła jest nie tylko wytwarzanie produktów i świadczenie usług, ale także ich skuteczna sprzedaż.</w:t>
      </w:r>
    </w:p>
    <w:p w14:paraId="7E64A5CC"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W odniesieniu do obowiązującego wyłączenia usług leczniczych z rzemiosła proponuje się, aby ww. wyłączenie nie obejmowało działalności optyków okularowych.</w:t>
      </w:r>
    </w:p>
    <w:p w14:paraId="76398639"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Zawód optyka okularowego jest zawodem rzemieślniczym, polegającym na doborze i wykonywaniu oraz sprzedaży okularów korekcyjnych oraz innych pomocy wzrokowych. W zawodzie optyka okularowego prowadzona jest zarówno szkolna, jak i praktyczna nauka zawodu, przeprowadzane są egzaminy czeladnicze i mistrzowskie. W Polsce działa 8 branżowych cechów zrzeszających optyków okularowych oraz branżowa Izba Rzemieślnicza – Krajowa Rzemieślnicza Izba Optyczna.</w:t>
      </w:r>
    </w:p>
    <w:p w14:paraId="17DF24D5" w14:textId="00AFD0DB"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Zgodnie z zapisami art. 3 ust. 1 ustawy z dnia 15 kwietnia 2011 roku o działalności leczniczej działalność lecznicza polega na udzielaniu świadczeń zdrowotnych. W świetle art. 2 ust. 1 pkt 10) tej ustawy świadczeniami zdrowotnymi są działania służące zachowaniu, ratowaniu, przywracaniu lub poprawie zdrowia oraz inne działania medyczne wynikające z procesu leczenia lub przepisów odrębnych regulujących zasady ich wykonywania.</w:t>
      </w:r>
    </w:p>
    <w:p w14:paraId="6694B70C"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Okulary korekcyjne, podobnie jak i inne pomoce wzrokowe, spełniają definicję wyrobu medycznego zawartą w ustawie z dnia 20 maja 2010 r. o wyrobach medycznych; stąd są traktowane jako wyroby medyczne. Dobór, wykonywanie i sprzedaż okularów korekcyjnych oraz innych pomocy wzrokowych mieści się również w definicji zaopatrzenia w środki pomocnicze ochrony zdrowia; stąd jest również traktowane jako świadczenie zdrowotne i jest m.in. przedmiotem refundacji w ramach NFZ w puli świadczeń zdrowotnych z zakresu zaopatrzenia w przedmioty ortopedyczne i środki pomocnicze.</w:t>
      </w:r>
    </w:p>
    <w:p w14:paraId="723F45FC"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W świetle tych zapisów działalność optyka okularowego mieści się w definicji działalności leczniczej. Zatem proponuje się – w celu uniknięcia nieporozumień − włączenie usług leczniczych świadczonych przez rzemieślników optyków okularowych także do definicji rzemiosła.</w:t>
      </w:r>
    </w:p>
    <w:p w14:paraId="006CD3B4"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Środki komunikacji elektronicznej w głosowaniach organów władz organizacji rzemiosła</w:t>
      </w:r>
    </w:p>
    <w:p w14:paraId="6A025D4E" w14:textId="1FA9BAA6"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Projekt nowelizacji przewiduje wprowadzenie do ustawy o rzemiośle regulacji umożliwiającej członkom organów jednostek samorządu gospodarczego rzemiosła udział w posiedzeniach tych organów oraz głosowanie na posiedzeniach oraz poza posiedzeniami z wykorzystaniem środków komunikacji elektronicznej. Proponowany zapis art. 13a ustawy o rzemiośle nawiązuje do rozwiązań legislacyjnych istniejących w ustawie z 7 kwietnia 1989 r. Prawo o stowarzyszeniach, wprowadzonych ustawą z 16 kwietnia 2020 r. o szczególnych instrumentach wsparcia w związku z rozprzestrzenianiem się wirusa SARS-CoV-2.</w:t>
      </w:r>
    </w:p>
    <w:p w14:paraId="77C26D06"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 xml:space="preserve">Usankcjonowanie możliwości udziału członków organów organizacji samorządu gospodarczego rzemiosła w posiedzeniach tych organów z wykorzystaniem środków komunikacji elektronicznej oraz podejmowania uchwał </w:t>
      </w:r>
      <w:bookmarkStart w:id="30" w:name="_Hlk126671543"/>
      <w:r w:rsidRPr="004176A8">
        <w:rPr>
          <w:rFonts w:ascii="Arial" w:hAnsi="Arial" w:cs="Arial"/>
          <w:sz w:val="20"/>
          <w:szCs w:val="20"/>
        </w:rPr>
        <w:t xml:space="preserve">z wykorzystaniem tychże środków </w:t>
      </w:r>
      <w:bookmarkEnd w:id="30"/>
      <w:r w:rsidRPr="004176A8">
        <w:rPr>
          <w:rFonts w:ascii="Arial" w:hAnsi="Arial" w:cs="Arial"/>
          <w:sz w:val="20"/>
          <w:szCs w:val="20"/>
        </w:rPr>
        <w:t xml:space="preserve">jest szczególnie istotne w stanach nadzwyczajnych lub stanach epidemii. Wprowadzenie przedmiotowej regulacji wpisuje się ponadto </w:t>
      </w:r>
      <w:r w:rsidRPr="004176A8">
        <w:rPr>
          <w:rFonts w:ascii="Arial" w:hAnsi="Arial" w:cs="Arial"/>
          <w:sz w:val="20"/>
          <w:szCs w:val="20"/>
        </w:rPr>
        <w:lastRenderedPageBreak/>
        <w:t>w ogólną tendencję upowszechniania praktycznego wykorzystania technologii informatycznych we wszystkich aspektach życia społeczno-gospodarczego.</w:t>
      </w:r>
    </w:p>
    <w:p w14:paraId="30F25EA3"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Przewiduje się, że zaproponowana nowelizacja wzmocni i zróżnicuje podmiotowo sektor rzemiosła, zwiększy efektywność operacyjną mikro-, małych i średnich przedsiębiorstw rzemieślniczych oraz poprawi rentowność i konkurencyjność tych podmiotów gospodarczych.</w:t>
      </w:r>
    </w:p>
    <w:p w14:paraId="5D254DBC"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Oczekuje się, że rozszerzenie definicji rzemieślnika i rzemiosła przyczyni się do włączenia do rzemiosła tych podmiotów rzemieślniczych, które były dotychczas zeń wykluczone i nie mogły korzystać z dofinansowania kosztów kształcenia młodocianych pracowników w rzemiośle.</w:t>
      </w:r>
    </w:p>
    <w:p w14:paraId="7B2410D1"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Umożliwienie rzemieślnikom szkolącym zatrudniania młodocianych pracowników w rzemiośle i korzystania z systemu wsparcia finansowego przyczyni się do obniżenia kosztów działalności rzemieślniczej, poprawy rentowność zakładów rzemieślniczych i wzmocnienia przewagi konkurencyjnej na rynku oferowanych dóbr i usług.</w:t>
      </w:r>
    </w:p>
    <w:p w14:paraId="31A614DE" w14:textId="77777777"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Jednocześnie nowelizacja, poprzez usankcjonowanie możliwości organizowania posiedzeń organów samorządu gospodarczego rzemiosła oraz podejmowania uchwał z wykorzystaniem środków komunikacji elektronicznej, usprawni i ułatwi realizację zadań statutowych tychże organów.</w:t>
      </w:r>
    </w:p>
    <w:p w14:paraId="76A8F895" w14:textId="28BA5AB0" w:rsidR="00D63F36" w:rsidRPr="005C158A" w:rsidRDefault="00D63F36" w:rsidP="0011422D">
      <w:pPr>
        <w:pStyle w:val="Nagwek2"/>
        <w:spacing w:before="120" w:after="120" w:line="360" w:lineRule="auto"/>
        <w:jc w:val="both"/>
        <w:rPr>
          <w:rFonts w:ascii="Arial" w:hAnsi="Arial" w:cs="Arial"/>
          <w:b w:val="0"/>
          <w:bCs w:val="0"/>
          <w:sz w:val="20"/>
          <w:szCs w:val="20"/>
        </w:rPr>
      </w:pPr>
      <w:bookmarkStart w:id="31" w:name="_Toc138329752"/>
      <w:r w:rsidRPr="005C158A">
        <w:rPr>
          <w:rFonts w:ascii="Arial" w:hAnsi="Arial" w:cs="Arial"/>
          <w:color w:val="auto"/>
          <w:sz w:val="20"/>
          <w:szCs w:val="20"/>
        </w:rPr>
        <w:t>Ustawa z dnia 12 października 1990 r. o Straży Granicznej</w:t>
      </w:r>
      <w:bookmarkEnd w:id="31"/>
    </w:p>
    <w:p w14:paraId="12F88F7D" w14:textId="534DBBAD" w:rsidR="00D63F36" w:rsidRPr="005C158A" w:rsidRDefault="00D63F3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Zmiany w przedmiotowej ustawie związane są przede wszystkim z proponowaną nowelizacją ustawy z dnia 6 marca 2018 r. – Prawo przedsiębiorców w zakresie jednoznacznego uregulowania możliwości prowadzenia tzw. działalności nierejestrowej przez cudzoziemców. Obecne przepisy ustawy o Straży Granicznej dopuszczają możliwość przeprowadzania przez odpowiednie organy kontroli dot. zgodności z przepisami działalności gospodarczych cudzoziemców. Ponieważ jednak, zgodnie z art. 5 ust. 1 ustawy z dnia 6 marca 2018 r. – Prawo przedsiębiorców, tzw. działalność nierejestrowa nie stanowi działalności gospodarczej, organy takie nie mają np. uprawnienia, by domagać się okazania od kontrolowanego deklarującego prowadzenie tego rodzaju działalności odpowiednich dokumentów z tym związanych – np. w zakresie tego, czy osiągane przychody nie przekraczają dopuszczalnego pułapu. Tym samym, na mocy nowych przepisów Straż Graniczna będzie mogła w pełniejszym zakresie weryfikować przestrzeganie obowiązujących norm prawnych – zarówno w odniesieniu do osób wskazanych w dodawanym art. 5 ust. 7 ustawy z dnia 6 marca 2018 r. – Prawo przedsiębiorców, jak i tych wskazanych w nowelizowanej ustawie z dnia 12 marca 2022 r. o pomocy obywatelom Ukrainy w związku z konfliktem zbrojnym na terytorium tego państwa. </w:t>
      </w:r>
    </w:p>
    <w:p w14:paraId="4E2B40B0" w14:textId="546C5AC4" w:rsidR="000357E5" w:rsidRPr="005C158A" w:rsidRDefault="00855C56" w:rsidP="00401710">
      <w:pPr>
        <w:pStyle w:val="Nagwek2"/>
        <w:spacing w:before="120" w:after="120" w:line="360" w:lineRule="auto"/>
        <w:jc w:val="both"/>
        <w:rPr>
          <w:rFonts w:ascii="Arial" w:hAnsi="Arial" w:cs="Arial"/>
          <w:color w:val="auto"/>
          <w:sz w:val="20"/>
          <w:szCs w:val="20"/>
        </w:rPr>
      </w:pPr>
      <w:bookmarkStart w:id="32" w:name="_Toc138329753"/>
      <w:r w:rsidRPr="005C158A">
        <w:rPr>
          <w:rFonts w:ascii="Arial" w:hAnsi="Arial" w:cs="Arial"/>
          <w:color w:val="auto"/>
          <w:sz w:val="20"/>
          <w:szCs w:val="20"/>
        </w:rPr>
        <w:t>Ustawa</w:t>
      </w:r>
      <w:r w:rsidR="000357E5" w:rsidRPr="005C158A">
        <w:rPr>
          <w:rFonts w:ascii="Arial" w:hAnsi="Arial" w:cs="Arial"/>
          <w:color w:val="auto"/>
          <w:sz w:val="20"/>
          <w:szCs w:val="20"/>
        </w:rPr>
        <w:t xml:space="preserve"> z dnia 16 kwietnia 1993 r. o zwalczaniu nieuczciwej konkurencji</w:t>
      </w:r>
      <w:bookmarkEnd w:id="32"/>
    </w:p>
    <w:p w14:paraId="7775DBF8" w14:textId="77777777" w:rsidR="001F3316" w:rsidRPr="005C158A" w:rsidRDefault="001F3316" w:rsidP="001F3316">
      <w:pPr>
        <w:spacing w:before="120" w:after="120" w:line="360" w:lineRule="auto"/>
        <w:jc w:val="both"/>
        <w:rPr>
          <w:rFonts w:ascii="Arial" w:hAnsi="Arial" w:cs="Arial"/>
          <w:sz w:val="20"/>
          <w:szCs w:val="20"/>
        </w:rPr>
      </w:pPr>
      <w:r w:rsidRPr="005C158A">
        <w:rPr>
          <w:rFonts w:ascii="Arial" w:hAnsi="Arial" w:cs="Arial"/>
          <w:sz w:val="20"/>
          <w:szCs w:val="20"/>
        </w:rPr>
        <w:t xml:space="preserve">Usługi pośrednictwa internetowego są kluczowymi czynnikami wspierającymi przedsiębiorczość i nowe modele biznesowe, handel oraz innowacje, które mogą również przyczynić się do poprawy dobrobytu konsumentów i które są w coraz większym stopniu wykorzystywane zarówno przez sektor prywatny, jak i publiczny. Oferują one dostęp do nowych rynków i nowe możliwości handlowe, stwarzając przedsiębiorstwom szansę czerpania korzyści z rynku wewnętrznego, w tym ekspansję rynkową czy redukcję kosztów oraz powiększy możliwości w zakresie oferowania konkurencyjnych cen w Internecie,. Pośrednio przełoży się to również na korzyści dla konsumentów w Unii, w szczególności poprzez </w:t>
      </w:r>
      <w:r w:rsidRPr="005C158A">
        <w:rPr>
          <w:rFonts w:ascii="Arial" w:hAnsi="Arial" w:cs="Arial"/>
          <w:sz w:val="20"/>
          <w:szCs w:val="20"/>
        </w:rPr>
        <w:lastRenderedPageBreak/>
        <w:t>zwiększenie wyboru towarów i usług.  Dla osiągnięcia takie efektu wymagane jest jednak, aby zapewnić pewność prawa.</w:t>
      </w:r>
    </w:p>
    <w:p w14:paraId="7F84B8B1" w14:textId="77777777" w:rsidR="001F3316" w:rsidRPr="005C158A" w:rsidRDefault="001F3316" w:rsidP="001F3316">
      <w:pPr>
        <w:spacing w:before="120" w:after="120" w:line="360" w:lineRule="auto"/>
        <w:jc w:val="both"/>
        <w:rPr>
          <w:rFonts w:ascii="Arial" w:hAnsi="Arial" w:cs="Arial"/>
          <w:sz w:val="20"/>
          <w:szCs w:val="20"/>
        </w:rPr>
      </w:pPr>
      <w:r w:rsidRPr="005C158A">
        <w:rPr>
          <w:rFonts w:ascii="Arial" w:hAnsi="Arial" w:cs="Arial"/>
          <w:sz w:val="20"/>
          <w:szCs w:val="20"/>
        </w:rPr>
        <w:t>W tym kontekście ważne jest, aby przedsiębiorstwa mogły ufać usługom pośrednictwa internetowego, w ramach których nawiązują stosunki handlowe, co przyczyni się do pełnej eksploatacji korzyści  płynących z gospodarki platform internetowych. Ma to szczególne znaczenie głównie z uwagi na fakt, że coraz więcej transakcji zawieranych jest przy wykorzystaniu usług pośrednictwa internetowego, czemu sprzyjają silne, oparte na danych pośrednie efekty sieciowe. To prowadzi jednak również do wzrostu zależności takich użytkowników biznesowych – w szczególności mikroprzedsiębiorstw oraz małych i średnich przedsiębiorstw .</w:t>
      </w:r>
    </w:p>
    <w:p w14:paraId="21AE6B65" w14:textId="77777777" w:rsidR="001F3316" w:rsidRPr="005C158A" w:rsidRDefault="001F3316" w:rsidP="001F3316">
      <w:pPr>
        <w:spacing w:before="120" w:after="120" w:line="360" w:lineRule="auto"/>
        <w:jc w:val="both"/>
        <w:rPr>
          <w:rFonts w:ascii="Arial" w:hAnsi="Arial" w:cs="Arial"/>
          <w:sz w:val="20"/>
          <w:szCs w:val="20"/>
        </w:rPr>
      </w:pPr>
      <w:r w:rsidRPr="005C158A">
        <w:rPr>
          <w:rFonts w:ascii="Arial" w:hAnsi="Arial" w:cs="Arial"/>
          <w:sz w:val="20"/>
          <w:szCs w:val="20"/>
        </w:rPr>
        <w:t>W wyniku tej rosnącej zależności dostawcy tych usług mają często znacznie większą siłę przetargową, która umożliwia im w praktyce podejmowanie jednostronnych działań w sposób, który może być niesprawiedliwy i szkodliwy dla uzasadnionych interesów ich użytkowników biznesowych oraz, pośrednio, również dla konsumentów w Unii. Mogą oni jednostronnie zmuszać użytkowników biznesowych do praktyk, które rażąco odbiegają od dobrych praktyk handlowych lub są sprzeczne z  zasadą dobrej wiary i uczciwego obrotu np. poprzez wymuszanie akceptacji zasad współpracy bez możliwości negocjacji przez drugą stronę.</w:t>
      </w:r>
    </w:p>
    <w:p w14:paraId="3B5AB65E" w14:textId="77777777" w:rsidR="001F3316" w:rsidRPr="005C158A" w:rsidRDefault="001F3316" w:rsidP="001F3316">
      <w:pPr>
        <w:spacing w:before="120" w:after="120" w:line="360" w:lineRule="auto"/>
        <w:jc w:val="both"/>
        <w:rPr>
          <w:rFonts w:ascii="Arial" w:hAnsi="Arial" w:cs="Arial"/>
          <w:sz w:val="20"/>
          <w:szCs w:val="20"/>
        </w:rPr>
      </w:pPr>
      <w:r w:rsidRPr="005C158A">
        <w:rPr>
          <w:rFonts w:ascii="Arial" w:hAnsi="Arial" w:cs="Arial"/>
          <w:sz w:val="20"/>
          <w:szCs w:val="20"/>
        </w:rPr>
        <w:t xml:space="preserve">Rozporządzenie Parlamentu Europejskiego i Rady (UE) 2019/1150 z dnia 20 czerwca 2019 r. w sprawie propagowania sprawiedliwości i przejrzystości dla użytkowników biznesowych korzystających z usług pośrednictwa internetowego (dalej: „rozporządzenie P2B”) wprowadza w art. 15 obowiązek ustanowienia przez państwa członkowskie przepisów określających środki mające zastosowanie w przypadku naruszeń przepisów tegoż rozporządzenia, wskazując przy tym, że środki muszą być skuteczne, proporcjonalne i odstraszające. </w:t>
      </w:r>
    </w:p>
    <w:p w14:paraId="2213023A" w14:textId="1F16C1F5" w:rsidR="001F3316" w:rsidRPr="005C158A" w:rsidRDefault="001F3316" w:rsidP="001F3316">
      <w:pPr>
        <w:spacing w:before="120" w:after="120" w:line="360" w:lineRule="auto"/>
        <w:jc w:val="both"/>
        <w:rPr>
          <w:rFonts w:ascii="Arial" w:hAnsi="Arial" w:cs="Arial"/>
          <w:sz w:val="20"/>
          <w:szCs w:val="20"/>
        </w:rPr>
      </w:pPr>
      <w:r w:rsidRPr="005C158A">
        <w:rPr>
          <w:rFonts w:ascii="Arial" w:hAnsi="Arial" w:cs="Arial"/>
          <w:sz w:val="20"/>
          <w:szCs w:val="20"/>
        </w:rPr>
        <w:t xml:space="preserve">Propozycja zmian w ustawie o zwalczaniu nieuczciwej konkurencji ma zatem na celu zapewnienie skutecznego stosowania przepisów rozporządzenia P2B, które zgodnie z polskim ustawodawstwem obowiązuje bezpośrednio.  </w:t>
      </w:r>
    </w:p>
    <w:p w14:paraId="4E4928E3" w14:textId="77777777" w:rsidR="001F3316" w:rsidRPr="005C158A" w:rsidRDefault="001F3316" w:rsidP="001F3316">
      <w:pPr>
        <w:spacing w:before="120" w:after="120" w:line="360" w:lineRule="auto"/>
        <w:jc w:val="both"/>
        <w:rPr>
          <w:rFonts w:ascii="Arial" w:hAnsi="Arial" w:cs="Arial"/>
          <w:sz w:val="20"/>
          <w:szCs w:val="20"/>
        </w:rPr>
      </w:pPr>
      <w:r w:rsidRPr="005C158A">
        <w:rPr>
          <w:rFonts w:ascii="Arial" w:hAnsi="Arial" w:cs="Arial"/>
          <w:sz w:val="20"/>
          <w:szCs w:val="20"/>
        </w:rPr>
        <w:t xml:space="preserve">Proponowane zmiany wprowadzają do polskiego porządku prawnego procedurę postępowania w  przypadku zgłoszeń dokonywanych przez podmioty prowadzące działalność gospodarczą będących efektem naruszenia przepisów rozporządzenia P2B przez podmioty świadczące usługi pośrednictwa internetowego. Przepisy rozszerzają definicję czynu nieuczciwej konkurencji o zakres usług pośrednictwa internetowego, jak również wskazują organ właściwy, mogący na wniosek przedsiębiorcy podejmować działania w celu zaniechania naruszeń przepisów rozporządzenia. Organem tym jest minister właściwy ds. gospodarki, który na bieżąco realizuje współpracę z przedsiębiorcami w zakresie ich relacji z platformami internetowymi - np. poprzez informowanie o przysługujących im prawach, udzielanie wyjaśnień dot. wymagań wobec platform co do regulaminów, ich zmiany, pozycjonowania, wskazywanie postępowania w przypadku napotkania przez przedsiębiorców trudności wynikających ze stosowania działań niezgodnych z regułami konkurencji przez dostawcę platformy internetowej bądź dostawcę wyszukiwarki. Wskazanie organu właściwego stanowi odpowiedź na oczekiwanie Komisji Europejskiej co do zapewnienia zgodności z rozporządzeniem (ew. na zarzuty dotyczące braku specjalnych uregulowań krajowych w tym zakresie). </w:t>
      </w:r>
    </w:p>
    <w:p w14:paraId="67B260AF" w14:textId="77777777" w:rsidR="001F3316" w:rsidRPr="005C158A" w:rsidRDefault="001F3316" w:rsidP="001F3316">
      <w:pPr>
        <w:spacing w:before="120" w:after="120" w:line="360" w:lineRule="auto"/>
        <w:jc w:val="both"/>
        <w:rPr>
          <w:rFonts w:ascii="Arial" w:hAnsi="Arial" w:cs="Arial"/>
          <w:sz w:val="20"/>
          <w:szCs w:val="20"/>
        </w:rPr>
      </w:pPr>
      <w:r w:rsidRPr="005C158A">
        <w:rPr>
          <w:rFonts w:ascii="Arial" w:hAnsi="Arial" w:cs="Arial"/>
          <w:sz w:val="20"/>
          <w:szCs w:val="20"/>
        </w:rPr>
        <w:lastRenderedPageBreak/>
        <w:t>Wprowadzenie tych przepisów stanowi również dodatkowy środek ochrony przedsiębiorców przed nieuczciwymi praktykami, jakie mogą być stosowane przez pośredników oferujących usługi internetowe np. polegające na udostępnianiu platform do handlu internetowego.</w:t>
      </w:r>
      <w:bookmarkStart w:id="33" w:name="__RefHeading__5883_1118692978"/>
      <w:bookmarkEnd w:id="33"/>
      <w:r w:rsidRPr="005C158A">
        <w:rPr>
          <w:rFonts w:ascii="Arial" w:hAnsi="Arial" w:cs="Arial"/>
          <w:sz w:val="20"/>
          <w:szCs w:val="20"/>
        </w:rPr>
        <w:t xml:space="preserve"> Projektowane przepisy uzupełniają przykładowy katalog czynów nieuczciwej konkurencji ujęty w ustawie o zwalczaniu nieuczciwej konkurencji o działanie w zakresie ww. usług i usług pośrednictwa internetowego i wyszukiwarek internetowych naruszające przepisy rozporządzenia, co pozwoli przedsiębiorcom na dochodzenie swoich praw w postępowaniach dotyczących stwierdzonych naruszeń przed sądem. Ponieważ projektowane przepisy nie przewidują penalizacji naruszeń w stopniu wykraczającym poza już obowiązujące przepisy ogólne, postępowania będą miały charakter </w:t>
      </w:r>
      <w:proofErr w:type="spellStart"/>
      <w:r w:rsidRPr="005C158A">
        <w:rPr>
          <w:rFonts w:ascii="Arial" w:hAnsi="Arial" w:cs="Arial"/>
          <w:sz w:val="20"/>
          <w:szCs w:val="20"/>
        </w:rPr>
        <w:t>prywatno</w:t>
      </w:r>
      <w:proofErr w:type="spellEnd"/>
      <w:r w:rsidRPr="005C158A">
        <w:rPr>
          <w:rFonts w:ascii="Arial" w:hAnsi="Arial" w:cs="Arial"/>
          <w:sz w:val="20"/>
          <w:szCs w:val="20"/>
        </w:rPr>
        <w:t xml:space="preserve">-skargowy i prowadzone będą przed sądami własności intelektualnej. Regulacja tego rodzaju jest wystarczająca dla realizacji zobowiązania do ustanowienia adekwatnych środków mających zastosowanie w przypadku naruszenia przepisów rozporządzenia, ponieważ w kompetencji ww. sądów, obok rozpatrywania spraw dotyczących praw własności przemysłowej, praw autorskich i pokrewnych oraz praw własności intelektualnej, znajdują się sprawy o zapobieganie i zwalczanie nieuczciwej konkurencji i ochronę dóbr osobistych w takim zakresie, w jakim dotyczą one wykorzystywania dobra osobistego w celu indywidualizacji reklamy lub promocji przedsiębiorcy, towarów i usług. Z dotychczasowego (od 2020 r.) funkcjonowania tego rodzaju sądów można wnioskować, że cechują się już teraz interdyscyplinarnością, zrozumieniem technicznego i biznesowego tła sporu, a sprawy – mimo złożoności sporów - prowadzone są sprawnie. Dopuszcza się, że jeżeli w praktyce orzecznictwo </w:t>
      </w:r>
      <w:proofErr w:type="spellStart"/>
      <w:r w:rsidRPr="005C158A">
        <w:rPr>
          <w:rFonts w:ascii="Arial" w:hAnsi="Arial" w:cs="Arial"/>
          <w:sz w:val="20"/>
          <w:szCs w:val="20"/>
        </w:rPr>
        <w:t>ws</w:t>
      </w:r>
      <w:proofErr w:type="spellEnd"/>
      <w:r w:rsidRPr="005C158A">
        <w:rPr>
          <w:rFonts w:ascii="Arial" w:hAnsi="Arial" w:cs="Arial"/>
          <w:sz w:val="20"/>
          <w:szCs w:val="20"/>
        </w:rPr>
        <w:t>. naruszeń rozporządzenia nie okaże się w jednolite, przewidywalne lub osadzone w utrwalonej praktyce, projektodawca dokona nowelizacji ex-post, dającej organom publicznym narzędzia do egzekwowania wobec dokonujących naruszeń platform sankcji wykraczających poza odpowiedzialność cywilną (przepisy karne), które będą w większym stopniu stanowiły środek skuteczny, proporcjonalny i odstraszający – na chwilę obecną nie ma do tego podstaw.</w:t>
      </w:r>
    </w:p>
    <w:p w14:paraId="4226E644" w14:textId="77777777" w:rsidR="00733AA5" w:rsidRPr="005C158A" w:rsidRDefault="00733AA5" w:rsidP="00733AA5">
      <w:pPr>
        <w:pStyle w:val="Nagwek2"/>
        <w:spacing w:before="120" w:after="120" w:line="360" w:lineRule="auto"/>
        <w:jc w:val="both"/>
        <w:rPr>
          <w:rFonts w:ascii="Arial" w:hAnsi="Arial" w:cs="Arial"/>
          <w:color w:val="auto"/>
          <w:sz w:val="20"/>
          <w:szCs w:val="20"/>
        </w:rPr>
      </w:pPr>
      <w:bookmarkStart w:id="34" w:name="_Toc138329754"/>
      <w:r w:rsidRPr="005C158A">
        <w:rPr>
          <w:rFonts w:ascii="Arial" w:hAnsi="Arial" w:cs="Arial"/>
          <w:color w:val="auto"/>
          <w:sz w:val="20"/>
          <w:szCs w:val="20"/>
        </w:rPr>
        <w:t>Ustawa z dnia 7 lipca 1994 r. – Prawo budowlane</w:t>
      </w:r>
      <w:bookmarkEnd w:id="34"/>
    </w:p>
    <w:p w14:paraId="695CA966" w14:textId="32D10E53" w:rsidR="00733AA5" w:rsidRPr="005C158A" w:rsidRDefault="00733AA5" w:rsidP="00733AA5">
      <w:pPr>
        <w:spacing w:before="120" w:after="120" w:line="360" w:lineRule="auto"/>
        <w:jc w:val="both"/>
        <w:rPr>
          <w:rFonts w:ascii="Arial" w:hAnsi="Arial" w:cs="Arial"/>
          <w:sz w:val="20"/>
          <w:szCs w:val="20"/>
        </w:rPr>
      </w:pPr>
      <w:r w:rsidRPr="005C158A">
        <w:rPr>
          <w:rFonts w:ascii="Arial" w:hAnsi="Arial" w:cs="Arial"/>
          <w:sz w:val="20"/>
          <w:szCs w:val="20"/>
        </w:rPr>
        <w:t xml:space="preserve">Do katalogu inwestycji zwolnionych z pozwolenia na budowę, ale wymagających zgłoszenia, zostają dodane części budowlane wolno stojącej tzw. małej elektrowni wiatrowej, której całkowita wysokość jest większa niż 3 m i nie większa niż 12 m oraz której moc nie przekracza mocy </w:t>
      </w:r>
      <w:proofErr w:type="spellStart"/>
      <w:r w:rsidRPr="005C158A">
        <w:rPr>
          <w:rFonts w:ascii="Arial" w:hAnsi="Arial" w:cs="Arial"/>
          <w:sz w:val="20"/>
          <w:szCs w:val="20"/>
        </w:rPr>
        <w:t>mikroinstalacji</w:t>
      </w:r>
      <w:proofErr w:type="spellEnd"/>
      <w:r w:rsidRPr="005C158A">
        <w:rPr>
          <w:rFonts w:ascii="Arial" w:hAnsi="Arial" w:cs="Arial"/>
          <w:sz w:val="20"/>
          <w:szCs w:val="20"/>
        </w:rPr>
        <w:t>, a odległość jej usytuowania od granic działki jest nie mniejsza niż jej całkowita wysokość (</w:t>
      </w:r>
      <w:r w:rsidRPr="005C158A">
        <w:rPr>
          <w:rFonts w:ascii="Arial" w:hAnsi="Arial" w:cs="Arial"/>
          <w:b/>
          <w:bCs/>
          <w:sz w:val="20"/>
          <w:szCs w:val="20"/>
        </w:rPr>
        <w:t>art. 29 ust. 1 pkt 32</w:t>
      </w:r>
      <w:r w:rsidRPr="005C158A">
        <w:rPr>
          <w:rFonts w:ascii="Arial" w:hAnsi="Arial" w:cs="Arial"/>
          <w:sz w:val="20"/>
          <w:szCs w:val="20"/>
        </w:rPr>
        <w:t>). Jednocześnie takie inwestycje</w:t>
      </w:r>
      <w:r w:rsidR="006F65AA" w:rsidRPr="005C158A">
        <w:rPr>
          <w:rFonts w:ascii="Arial" w:hAnsi="Arial" w:cs="Arial"/>
          <w:sz w:val="20"/>
          <w:szCs w:val="20"/>
        </w:rPr>
        <w:t>,</w:t>
      </w:r>
      <w:r w:rsidRPr="005C158A">
        <w:rPr>
          <w:rFonts w:ascii="Arial" w:hAnsi="Arial" w:cs="Arial"/>
          <w:sz w:val="20"/>
          <w:szCs w:val="20"/>
        </w:rPr>
        <w:t xml:space="preserve"> na etapie zgłoszenia</w:t>
      </w:r>
      <w:r w:rsidR="006F65AA" w:rsidRPr="005C158A">
        <w:rPr>
          <w:rFonts w:ascii="Arial" w:hAnsi="Arial" w:cs="Arial"/>
          <w:sz w:val="20"/>
          <w:szCs w:val="20"/>
        </w:rPr>
        <w:t>,</w:t>
      </w:r>
      <w:r w:rsidRPr="005C158A">
        <w:rPr>
          <w:rFonts w:ascii="Arial" w:hAnsi="Arial" w:cs="Arial"/>
          <w:sz w:val="20"/>
          <w:szCs w:val="20"/>
        </w:rPr>
        <w:t xml:space="preserve"> będą wymagały sporządzenia planu sytuacyjnego i projektu architektoniczno-budowlanego, a na etapie rozpoczęcia robót budowlanych konieczne będzie sporządzenie projektu technicznego i zapewnienie udziału kierownika budowy. Będą podlegały również obowiązkowi powykonawczej inwentaryzacji geodezyjnej.</w:t>
      </w:r>
    </w:p>
    <w:p w14:paraId="22DBA112" w14:textId="26E95347" w:rsidR="00733AA5" w:rsidRPr="005C158A" w:rsidRDefault="00733AA5" w:rsidP="00733AA5">
      <w:pPr>
        <w:spacing w:before="120" w:after="120" w:line="360" w:lineRule="auto"/>
        <w:jc w:val="both"/>
        <w:rPr>
          <w:rFonts w:ascii="Arial" w:hAnsi="Arial" w:cs="Arial"/>
          <w:sz w:val="20"/>
          <w:szCs w:val="20"/>
        </w:rPr>
      </w:pPr>
      <w:r w:rsidRPr="005C158A">
        <w:rPr>
          <w:rFonts w:ascii="Arial" w:hAnsi="Arial" w:cs="Arial"/>
          <w:sz w:val="20"/>
          <w:szCs w:val="20"/>
        </w:rPr>
        <w:t>Natomiast takie obiekty, ale o wysokości do 3 m, będą zwolnione z pozwolenia na budowę i zgłoszenia (</w:t>
      </w:r>
      <w:r w:rsidR="006F65AA" w:rsidRPr="005C158A">
        <w:rPr>
          <w:rFonts w:ascii="Arial" w:hAnsi="Arial" w:cs="Arial"/>
          <w:sz w:val="20"/>
          <w:szCs w:val="20"/>
        </w:rPr>
        <w:t xml:space="preserve">projektowany </w:t>
      </w:r>
      <w:r w:rsidRPr="005C158A">
        <w:rPr>
          <w:rFonts w:ascii="Arial" w:hAnsi="Arial" w:cs="Arial"/>
          <w:b/>
          <w:bCs/>
          <w:sz w:val="20"/>
          <w:szCs w:val="20"/>
        </w:rPr>
        <w:t>art. 29 ust. 2 pkt 33</w:t>
      </w:r>
      <w:r w:rsidRPr="005C158A">
        <w:rPr>
          <w:rFonts w:ascii="Arial" w:hAnsi="Arial" w:cs="Arial"/>
          <w:sz w:val="20"/>
          <w:szCs w:val="20"/>
        </w:rPr>
        <w:t>).</w:t>
      </w:r>
    </w:p>
    <w:p w14:paraId="5EBF0269" w14:textId="77777777" w:rsidR="00733AA5" w:rsidRPr="005C158A" w:rsidRDefault="00733AA5" w:rsidP="00733AA5">
      <w:pPr>
        <w:spacing w:before="120" w:after="120" w:line="360" w:lineRule="auto"/>
        <w:jc w:val="both"/>
        <w:rPr>
          <w:rFonts w:ascii="Arial" w:hAnsi="Arial" w:cs="Arial"/>
          <w:sz w:val="20"/>
          <w:szCs w:val="20"/>
        </w:rPr>
      </w:pPr>
      <w:r w:rsidRPr="005C158A">
        <w:rPr>
          <w:rFonts w:ascii="Arial" w:hAnsi="Arial" w:cs="Arial"/>
          <w:sz w:val="20"/>
          <w:szCs w:val="20"/>
        </w:rPr>
        <w:t xml:space="preserve">Propozycje te mają na celu upraszczanie i przyspieszanie procesu inwestycyjno-budowlanego dla ww. obiektów oraz zmniejszania obciążeń dla inwestorów, a tym samym mają zachęcić inwestorów do budowy takich inwestycji co jest szczególnie istotne w kontekście przechodzenia na gospodarkę niskoemisyjną i rozwój odnawialnych źródeł energii. Wprowadzenie proponowanego zapisy </w:t>
      </w:r>
      <w:r w:rsidRPr="005C158A">
        <w:rPr>
          <w:rFonts w:ascii="Arial" w:hAnsi="Arial" w:cs="Arial"/>
          <w:sz w:val="20"/>
          <w:szCs w:val="20"/>
        </w:rPr>
        <w:lastRenderedPageBreak/>
        <w:t>wskazującego, że odległość usytuowania wolno stojącej elektrowni wiatrowej od granic działki będzie nie mniejsza niż jej całkowita wysokość ma na celu ograniczenie możliwości oddziaływania na nieruchomości sąsiednie.</w:t>
      </w:r>
    </w:p>
    <w:p w14:paraId="5C00A502" w14:textId="2C07ECE0" w:rsidR="009B7608" w:rsidRPr="005C158A" w:rsidRDefault="00855C56" w:rsidP="00401710">
      <w:pPr>
        <w:pStyle w:val="Nagwek2"/>
        <w:spacing w:before="120" w:after="120" w:line="360" w:lineRule="auto"/>
        <w:jc w:val="both"/>
        <w:rPr>
          <w:rFonts w:ascii="Arial" w:hAnsi="Arial" w:cs="Arial"/>
          <w:color w:val="auto"/>
          <w:sz w:val="20"/>
          <w:szCs w:val="20"/>
        </w:rPr>
      </w:pPr>
      <w:bookmarkStart w:id="35" w:name="_Toc138329755"/>
      <w:r w:rsidRPr="005C158A">
        <w:rPr>
          <w:rFonts w:ascii="Arial" w:hAnsi="Arial" w:cs="Arial"/>
          <w:color w:val="auto"/>
          <w:sz w:val="20"/>
          <w:szCs w:val="20"/>
        </w:rPr>
        <w:t>Ustawa</w:t>
      </w:r>
      <w:r w:rsidR="00BB06D2" w:rsidRPr="005C158A">
        <w:rPr>
          <w:rFonts w:ascii="Arial" w:hAnsi="Arial" w:cs="Arial"/>
          <w:color w:val="auto"/>
          <w:sz w:val="20"/>
          <w:szCs w:val="20"/>
        </w:rPr>
        <w:t xml:space="preserve"> z dnia 13 października 1995 r. o zasadach ewidencji i identyfikacji podatników i płatników</w:t>
      </w:r>
      <w:bookmarkEnd w:id="35"/>
    </w:p>
    <w:p w14:paraId="5E90E7D5" w14:textId="028D4508" w:rsidR="00BB06D2" w:rsidRPr="005C158A" w:rsidRDefault="007C7B57"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00BB06D2" w:rsidRPr="005C158A">
        <w:rPr>
          <w:rFonts w:ascii="Arial" w:hAnsi="Arial" w:cs="Arial"/>
          <w:sz w:val="20"/>
          <w:szCs w:val="20"/>
        </w:rPr>
        <w:t>art. 3 ust. 1 pkt 1</w:t>
      </w:r>
      <w:r w:rsidRPr="005C158A">
        <w:rPr>
          <w:rFonts w:ascii="Arial" w:hAnsi="Arial" w:cs="Arial"/>
          <w:sz w:val="20"/>
          <w:szCs w:val="20"/>
        </w:rPr>
        <w:t xml:space="preserve"> </w:t>
      </w:r>
      <w:r w:rsidR="005B6E80" w:rsidRPr="005C158A">
        <w:rPr>
          <w:rFonts w:ascii="Arial" w:hAnsi="Arial" w:cs="Arial"/>
          <w:sz w:val="20"/>
          <w:szCs w:val="20"/>
        </w:rPr>
        <w:t xml:space="preserve">ww. </w:t>
      </w:r>
      <w:r w:rsidRPr="005C158A">
        <w:rPr>
          <w:rFonts w:ascii="Arial" w:hAnsi="Arial" w:cs="Arial"/>
          <w:sz w:val="20"/>
          <w:szCs w:val="20"/>
        </w:rPr>
        <w:t>ustawy</w:t>
      </w:r>
      <w:r w:rsidR="00BB06D2" w:rsidRPr="005C158A">
        <w:rPr>
          <w:rFonts w:ascii="Arial" w:hAnsi="Arial" w:cs="Arial"/>
          <w:sz w:val="20"/>
          <w:szCs w:val="20"/>
        </w:rPr>
        <w:t xml:space="preserve"> przewiduje</w:t>
      </w:r>
      <w:r w:rsidR="005B6E80" w:rsidRPr="005C158A">
        <w:rPr>
          <w:rFonts w:ascii="Arial" w:hAnsi="Arial" w:cs="Arial"/>
          <w:sz w:val="20"/>
          <w:szCs w:val="20"/>
        </w:rPr>
        <w:t xml:space="preserve"> się</w:t>
      </w:r>
      <w:r w:rsidR="00BB06D2" w:rsidRPr="005C158A">
        <w:rPr>
          <w:rFonts w:ascii="Arial" w:hAnsi="Arial" w:cs="Arial"/>
          <w:sz w:val="20"/>
          <w:szCs w:val="20"/>
        </w:rPr>
        <w:t xml:space="preserve">, że w przypadku podatników będących osobami fizycznymi niebędących zarejestrowanymi podatnikami podatku od towarów i usług lub </w:t>
      </w:r>
      <w:r w:rsidR="00D14835" w:rsidRPr="005C158A">
        <w:rPr>
          <w:rFonts w:ascii="Arial" w:hAnsi="Arial" w:cs="Arial"/>
          <w:sz w:val="20"/>
          <w:szCs w:val="20"/>
        </w:rPr>
        <w:t xml:space="preserve">nieprowadzących </w:t>
      </w:r>
      <w:r w:rsidR="00BB06D2" w:rsidRPr="005C158A">
        <w:rPr>
          <w:rFonts w:ascii="Arial" w:hAnsi="Arial" w:cs="Arial"/>
          <w:sz w:val="20"/>
          <w:szCs w:val="20"/>
        </w:rPr>
        <w:t>działalności gospodarczej, identyfikatorem podatkowym jest numer PESEL, natomiast z pkt 2 tego przepisu wynika, że w innych przypadkach jest to NIP.</w:t>
      </w:r>
    </w:p>
    <w:p w14:paraId="37EEEC14" w14:textId="383F057F" w:rsidR="00BB06D2" w:rsidRPr="005C158A" w:rsidRDefault="00BB06D2"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Zgodnie z </w:t>
      </w:r>
      <w:r w:rsidR="001F0C2A" w:rsidRPr="005C158A">
        <w:rPr>
          <w:rFonts w:ascii="Arial" w:hAnsi="Arial" w:cs="Arial"/>
          <w:sz w:val="20"/>
          <w:szCs w:val="20"/>
        </w:rPr>
        <w:t>a</w:t>
      </w:r>
      <w:r w:rsidR="00D14835" w:rsidRPr="005C158A">
        <w:rPr>
          <w:rFonts w:ascii="Arial" w:hAnsi="Arial" w:cs="Arial"/>
          <w:sz w:val="20"/>
          <w:szCs w:val="20"/>
        </w:rPr>
        <w:t>rt</w:t>
      </w:r>
      <w:r w:rsidRPr="005C158A">
        <w:rPr>
          <w:rFonts w:ascii="Arial" w:hAnsi="Arial" w:cs="Arial"/>
          <w:sz w:val="20"/>
          <w:szCs w:val="20"/>
        </w:rPr>
        <w:t>. 5 ust. 1 ustawy</w:t>
      </w:r>
      <w:r w:rsidR="000307ED" w:rsidRPr="005C158A">
        <w:rPr>
          <w:rFonts w:ascii="Arial" w:hAnsi="Arial" w:cs="Arial"/>
          <w:sz w:val="20"/>
          <w:szCs w:val="20"/>
        </w:rPr>
        <w:t xml:space="preserve"> z dnia 6 marca 2018 r.</w:t>
      </w:r>
      <w:r w:rsidR="00D14835" w:rsidRPr="005C158A">
        <w:rPr>
          <w:rFonts w:ascii="Arial" w:hAnsi="Arial" w:cs="Arial"/>
          <w:sz w:val="20"/>
          <w:szCs w:val="20"/>
        </w:rPr>
        <w:t xml:space="preserve"> </w:t>
      </w:r>
      <w:r w:rsidR="000307ED" w:rsidRPr="005C158A">
        <w:rPr>
          <w:rFonts w:ascii="Arial" w:hAnsi="Arial" w:cs="Arial"/>
          <w:sz w:val="20"/>
          <w:szCs w:val="20"/>
        </w:rPr>
        <w:t xml:space="preserve">- </w:t>
      </w:r>
      <w:r w:rsidRPr="005C158A">
        <w:rPr>
          <w:rFonts w:ascii="Arial" w:hAnsi="Arial" w:cs="Arial"/>
          <w:sz w:val="20"/>
          <w:szCs w:val="20"/>
        </w:rPr>
        <w:t xml:space="preserve">Prawo przedsiębiorców </w:t>
      </w:r>
      <w:r w:rsidR="000307ED" w:rsidRPr="005C158A">
        <w:rPr>
          <w:rFonts w:ascii="Arial" w:hAnsi="Arial" w:cs="Arial"/>
          <w:sz w:val="20"/>
          <w:szCs w:val="20"/>
        </w:rPr>
        <w:t xml:space="preserve">(dalej: </w:t>
      </w:r>
      <w:proofErr w:type="spellStart"/>
      <w:r w:rsidR="000307ED" w:rsidRPr="005C158A">
        <w:rPr>
          <w:rFonts w:ascii="Arial" w:hAnsi="Arial" w:cs="Arial"/>
          <w:sz w:val="20"/>
          <w:szCs w:val="20"/>
        </w:rPr>
        <w:t>Pp</w:t>
      </w:r>
      <w:proofErr w:type="spellEnd"/>
      <w:r w:rsidR="000307ED" w:rsidRPr="005C158A">
        <w:rPr>
          <w:rFonts w:ascii="Arial" w:hAnsi="Arial" w:cs="Arial"/>
          <w:sz w:val="20"/>
          <w:szCs w:val="20"/>
        </w:rPr>
        <w:t xml:space="preserve">) </w:t>
      </w:r>
      <w:r w:rsidRPr="005C158A">
        <w:rPr>
          <w:rFonts w:ascii="Arial" w:hAnsi="Arial" w:cs="Arial"/>
          <w:sz w:val="20"/>
          <w:szCs w:val="20"/>
        </w:rPr>
        <w:t>działalność nierejestrowa nie jest uznawana za działalność gospodarczą w rozumieniu tej ustawy. Nie ma natomiast podstaw, by automatycznie odmówić jej tego przymiotu na gruncie</w:t>
      </w:r>
      <w:r w:rsidR="00855C56" w:rsidRPr="005C158A">
        <w:rPr>
          <w:rFonts w:ascii="Arial" w:hAnsi="Arial" w:cs="Arial"/>
          <w:sz w:val="20"/>
          <w:szCs w:val="20"/>
        </w:rPr>
        <w:t xml:space="preserve"> </w:t>
      </w:r>
      <w:proofErr w:type="spellStart"/>
      <w:r w:rsidR="00855C56" w:rsidRPr="005C158A">
        <w:rPr>
          <w:rFonts w:ascii="Arial" w:hAnsi="Arial" w:cs="Arial"/>
          <w:sz w:val="20"/>
          <w:szCs w:val="20"/>
        </w:rPr>
        <w:t>Op</w:t>
      </w:r>
      <w:proofErr w:type="spellEnd"/>
      <w:r w:rsidRPr="005C158A">
        <w:rPr>
          <w:rFonts w:ascii="Arial" w:hAnsi="Arial" w:cs="Arial"/>
          <w:sz w:val="20"/>
          <w:szCs w:val="20"/>
        </w:rPr>
        <w:t xml:space="preserve"> oraz ustawy o podatku od towarów i usług</w:t>
      </w:r>
      <w:r w:rsidR="007C7B57" w:rsidRPr="005C158A">
        <w:rPr>
          <w:rFonts w:ascii="Arial" w:hAnsi="Arial" w:cs="Arial"/>
          <w:sz w:val="20"/>
          <w:szCs w:val="20"/>
        </w:rPr>
        <w:t>.</w:t>
      </w:r>
      <w:r w:rsidRPr="005C158A">
        <w:rPr>
          <w:rFonts w:ascii="Arial" w:hAnsi="Arial" w:cs="Arial"/>
          <w:sz w:val="20"/>
          <w:szCs w:val="20"/>
        </w:rPr>
        <w:t xml:space="preserve"> Ustawy te posługują się bowiem swoimi własnymi definicjami działalności gospodarczej, niezależnymi od </w:t>
      </w:r>
      <w:proofErr w:type="spellStart"/>
      <w:r w:rsidR="00855C56" w:rsidRPr="005C158A">
        <w:rPr>
          <w:rFonts w:ascii="Arial" w:hAnsi="Arial" w:cs="Arial"/>
          <w:sz w:val="20"/>
          <w:szCs w:val="20"/>
        </w:rPr>
        <w:t>Pp</w:t>
      </w:r>
      <w:proofErr w:type="spellEnd"/>
      <w:r w:rsidRPr="005C158A">
        <w:rPr>
          <w:rFonts w:ascii="Arial" w:hAnsi="Arial" w:cs="Arial"/>
          <w:sz w:val="20"/>
          <w:szCs w:val="20"/>
        </w:rPr>
        <w:t xml:space="preserve">, wyrażonymi odpowiednio w art. 3 pkt 9 oraz art. 15 ust. 2 tych </w:t>
      </w:r>
      <w:r w:rsidR="001F0C2A" w:rsidRPr="005C158A">
        <w:rPr>
          <w:rFonts w:ascii="Arial" w:hAnsi="Arial" w:cs="Arial"/>
          <w:sz w:val="20"/>
          <w:szCs w:val="20"/>
        </w:rPr>
        <w:t>ustaw</w:t>
      </w:r>
      <w:r w:rsidRPr="005C158A">
        <w:rPr>
          <w:rFonts w:ascii="Arial" w:hAnsi="Arial" w:cs="Arial"/>
          <w:sz w:val="20"/>
          <w:szCs w:val="20"/>
        </w:rPr>
        <w:t>.</w:t>
      </w:r>
    </w:p>
    <w:p w14:paraId="1308F0F5" w14:textId="77777777" w:rsidR="009A3E5D" w:rsidRPr="005C158A" w:rsidRDefault="00BB06D2"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zakresie pojęcia działalności gospodarczej </w:t>
      </w:r>
      <w:r w:rsidR="007C7B57" w:rsidRPr="005C158A">
        <w:rPr>
          <w:rFonts w:ascii="Arial" w:hAnsi="Arial" w:cs="Arial"/>
          <w:sz w:val="20"/>
          <w:szCs w:val="20"/>
        </w:rPr>
        <w:t>ustawa o zasadach ewidencji i identyfikacji podatników i</w:t>
      </w:r>
      <w:r w:rsidR="00295358" w:rsidRPr="005C158A">
        <w:rPr>
          <w:rFonts w:ascii="Arial" w:hAnsi="Arial" w:cs="Arial"/>
          <w:sz w:val="20"/>
          <w:szCs w:val="20"/>
        </w:rPr>
        <w:t> </w:t>
      </w:r>
      <w:r w:rsidR="007C7B57" w:rsidRPr="005C158A">
        <w:rPr>
          <w:rFonts w:ascii="Arial" w:hAnsi="Arial" w:cs="Arial"/>
          <w:sz w:val="20"/>
          <w:szCs w:val="20"/>
        </w:rPr>
        <w:t xml:space="preserve">płatników </w:t>
      </w:r>
      <w:r w:rsidRPr="005C158A">
        <w:rPr>
          <w:rFonts w:ascii="Arial" w:hAnsi="Arial" w:cs="Arial"/>
          <w:sz w:val="20"/>
          <w:szCs w:val="20"/>
        </w:rPr>
        <w:t xml:space="preserve">nie odwołuje się do żadnej innej regulacji, nie posiada też jego odrębnej legalnej definicji, co może prowadzić do wątpliwości co do dokładnego rozumienia tego terminu w myśl ustawy. </w:t>
      </w:r>
    </w:p>
    <w:p w14:paraId="28585A66" w14:textId="77777777" w:rsidR="009A3E5D" w:rsidRPr="005C158A" w:rsidRDefault="009A3E5D" w:rsidP="009A3E5D">
      <w:pPr>
        <w:spacing w:before="120" w:after="120" w:line="360" w:lineRule="auto"/>
        <w:jc w:val="both"/>
        <w:rPr>
          <w:rFonts w:ascii="Arial" w:hAnsi="Arial" w:cs="Arial"/>
          <w:iCs/>
          <w:sz w:val="20"/>
          <w:szCs w:val="20"/>
        </w:rPr>
      </w:pPr>
      <w:r w:rsidRPr="005C158A">
        <w:rPr>
          <w:rFonts w:ascii="Arial" w:hAnsi="Arial" w:cs="Arial"/>
          <w:iCs/>
          <w:sz w:val="20"/>
          <w:szCs w:val="20"/>
        </w:rPr>
        <w:t>Działalność nierejestrowa może stanowić działalność gospodarczą, w rozumieniu ustawy o VAT, jeżeli spełnia definicję działalności gospodarczej wynikającą z ustawy o VAT. Do podmiotów wykonujących działalność nierejestrową w świetle Prawa przedsiębiorców i uznanych za podatników w rozumieniu ustawy o VAT znajdą zatem zastosowanie ogólne zasady dotyczące podatku VAT. Oznacza to m.in., że podmioty te mogą korzystać ze zwolnienia od podatku z uwagi na poziom obrotów na podstawie art. 113 ust. 1 i 9 ustawy o VAT (tzw. zwolnienie podmiotowe).  Korzystanie przez podatnika ze zwolnienia podmiotowego jest wyłączone w przypadku dokonywania niektórych dostaw towarów lub świadczenia usług. Katalog tych czynności określa art. 113 ust. 13 ustawy o VAT.</w:t>
      </w:r>
    </w:p>
    <w:p w14:paraId="3445B1A6" w14:textId="0A715113" w:rsidR="00BB06D2" w:rsidRPr="005C158A" w:rsidRDefault="00BB06D2"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Biorąc pod uwagę cel, który przyświecał powołaniu instytucji działalności nierejestrowej wskazane jest, by osoba ją prowadząca </w:t>
      </w:r>
      <w:r w:rsidR="00B25EE0" w:rsidRPr="005C158A">
        <w:rPr>
          <w:rFonts w:ascii="Arial" w:hAnsi="Arial" w:cs="Arial"/>
          <w:sz w:val="20"/>
          <w:szCs w:val="20"/>
        </w:rPr>
        <w:t>korzystała z NIP</w:t>
      </w:r>
      <w:r w:rsidRPr="005C158A">
        <w:rPr>
          <w:rFonts w:ascii="Arial" w:hAnsi="Arial" w:cs="Arial"/>
          <w:sz w:val="20"/>
          <w:szCs w:val="20"/>
        </w:rPr>
        <w:t xml:space="preserve"> jako identyfikatora podatkowego</w:t>
      </w:r>
      <w:r w:rsidR="00B25EE0" w:rsidRPr="005C158A">
        <w:rPr>
          <w:rFonts w:ascii="Arial" w:hAnsi="Arial" w:cs="Arial"/>
          <w:sz w:val="20"/>
          <w:szCs w:val="20"/>
        </w:rPr>
        <w:t xml:space="preserve"> w sytuacjach gdy doszło do </w:t>
      </w:r>
      <w:r w:rsidRPr="005C158A">
        <w:rPr>
          <w:rFonts w:ascii="Arial" w:hAnsi="Arial" w:cs="Arial"/>
          <w:sz w:val="20"/>
          <w:szCs w:val="20"/>
        </w:rPr>
        <w:t>zarejestrowani</w:t>
      </w:r>
      <w:r w:rsidR="00B25EE0" w:rsidRPr="005C158A">
        <w:rPr>
          <w:rFonts w:ascii="Arial" w:hAnsi="Arial" w:cs="Arial"/>
          <w:sz w:val="20"/>
          <w:szCs w:val="20"/>
        </w:rPr>
        <w:t>a</w:t>
      </w:r>
      <w:r w:rsidRPr="005C158A">
        <w:rPr>
          <w:rFonts w:ascii="Arial" w:hAnsi="Arial" w:cs="Arial"/>
          <w:sz w:val="20"/>
          <w:szCs w:val="20"/>
        </w:rPr>
        <w:t xml:space="preserve"> się jako </w:t>
      </w:r>
      <w:r w:rsidR="009A3E5D" w:rsidRPr="005C158A">
        <w:rPr>
          <w:rFonts w:ascii="Arial" w:hAnsi="Arial" w:cs="Arial"/>
          <w:sz w:val="20"/>
          <w:szCs w:val="20"/>
        </w:rPr>
        <w:t>podatnik VAT czynny lub zwolniony w przypadku podatników zwolnionych podmiotowo z VAT</w:t>
      </w:r>
      <w:r w:rsidRPr="005C158A">
        <w:rPr>
          <w:rFonts w:ascii="Arial" w:hAnsi="Arial" w:cs="Arial"/>
          <w:sz w:val="20"/>
          <w:szCs w:val="20"/>
        </w:rPr>
        <w:t xml:space="preserve">, a także gdy przepisy odrębne wymuszają posługiwanie się </w:t>
      </w:r>
      <w:r w:rsidR="00B25EE0" w:rsidRPr="005C158A">
        <w:rPr>
          <w:rFonts w:ascii="Arial" w:hAnsi="Arial" w:cs="Arial"/>
          <w:sz w:val="20"/>
          <w:szCs w:val="20"/>
        </w:rPr>
        <w:t>tym numerem</w:t>
      </w:r>
      <w:r w:rsidRPr="005C158A">
        <w:rPr>
          <w:rFonts w:ascii="Arial" w:hAnsi="Arial" w:cs="Arial"/>
          <w:sz w:val="20"/>
          <w:szCs w:val="20"/>
        </w:rPr>
        <w:t xml:space="preserve"> (jak w przypadku, gdy dana osoba korzysta z kasy rejestrującej).</w:t>
      </w:r>
      <w:r w:rsidR="00855C56" w:rsidRPr="005C158A">
        <w:rPr>
          <w:rFonts w:ascii="Arial" w:hAnsi="Arial" w:cs="Arial"/>
          <w:sz w:val="20"/>
          <w:szCs w:val="20"/>
        </w:rPr>
        <w:t xml:space="preserve"> </w:t>
      </w:r>
      <w:r w:rsidR="00B25EE0" w:rsidRPr="005C158A">
        <w:rPr>
          <w:rFonts w:ascii="Arial" w:hAnsi="Arial" w:cs="Arial"/>
          <w:sz w:val="20"/>
          <w:szCs w:val="20"/>
        </w:rPr>
        <w:t>W pozostałych sytuacjach numerem identyfikacyjnym byłby PESEL.</w:t>
      </w:r>
    </w:p>
    <w:p w14:paraId="5ABAAA6F" w14:textId="77777777" w:rsidR="009A3E5D" w:rsidRPr="005C158A" w:rsidRDefault="009A3E5D" w:rsidP="009A3E5D">
      <w:pPr>
        <w:spacing w:before="120" w:after="120" w:line="360" w:lineRule="auto"/>
        <w:jc w:val="both"/>
        <w:rPr>
          <w:rFonts w:ascii="Arial" w:hAnsi="Arial" w:cs="Arial"/>
          <w:color w:val="000000" w:themeColor="text1"/>
          <w:sz w:val="20"/>
          <w:szCs w:val="20"/>
        </w:rPr>
      </w:pPr>
      <w:r w:rsidRPr="005C158A">
        <w:rPr>
          <w:rFonts w:ascii="Arial" w:hAnsi="Arial" w:cs="Arial"/>
          <w:color w:val="000000" w:themeColor="text1"/>
          <w:sz w:val="20"/>
          <w:szCs w:val="20"/>
        </w:rPr>
        <w:t xml:space="preserve">Należy także zwrócić uwagę na zakres przetwarzania danych osobowych, który ograniczony został przez wymóg przestrzegania podstawowych zasad, do których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należą: </w:t>
      </w:r>
      <w:r w:rsidRPr="005C158A">
        <w:rPr>
          <w:rFonts w:ascii="Arial" w:hAnsi="Arial" w:cs="Arial"/>
          <w:bCs/>
          <w:color w:val="000000" w:themeColor="text1"/>
          <w:sz w:val="20"/>
          <w:szCs w:val="20"/>
        </w:rPr>
        <w:t>legalność</w:t>
      </w:r>
      <w:r w:rsidRPr="005C158A">
        <w:rPr>
          <w:rFonts w:ascii="Arial" w:hAnsi="Arial" w:cs="Arial"/>
          <w:color w:val="000000" w:themeColor="text1"/>
          <w:sz w:val="20"/>
          <w:szCs w:val="20"/>
        </w:rPr>
        <w:t xml:space="preserve">, </w:t>
      </w:r>
      <w:r w:rsidRPr="005C158A">
        <w:rPr>
          <w:rFonts w:ascii="Arial" w:hAnsi="Arial" w:cs="Arial"/>
          <w:bCs/>
          <w:color w:val="000000" w:themeColor="text1"/>
          <w:sz w:val="20"/>
          <w:szCs w:val="20"/>
        </w:rPr>
        <w:t>celowość</w:t>
      </w:r>
      <w:r w:rsidRPr="005C158A">
        <w:rPr>
          <w:rFonts w:ascii="Arial" w:hAnsi="Arial" w:cs="Arial"/>
          <w:color w:val="000000" w:themeColor="text1"/>
          <w:sz w:val="20"/>
          <w:szCs w:val="20"/>
        </w:rPr>
        <w:t xml:space="preserve">, </w:t>
      </w:r>
      <w:r w:rsidRPr="005C158A">
        <w:rPr>
          <w:rFonts w:ascii="Arial" w:hAnsi="Arial" w:cs="Arial"/>
          <w:bCs/>
          <w:color w:val="000000" w:themeColor="text1"/>
          <w:sz w:val="20"/>
          <w:szCs w:val="20"/>
        </w:rPr>
        <w:t>adekwatność</w:t>
      </w:r>
      <w:r w:rsidRPr="005C158A">
        <w:rPr>
          <w:rFonts w:ascii="Arial" w:hAnsi="Arial" w:cs="Arial"/>
          <w:color w:val="000000" w:themeColor="text1"/>
          <w:sz w:val="20"/>
          <w:szCs w:val="20"/>
        </w:rPr>
        <w:t xml:space="preserve">, </w:t>
      </w:r>
      <w:r w:rsidRPr="005C158A">
        <w:rPr>
          <w:rFonts w:ascii="Arial" w:hAnsi="Arial" w:cs="Arial"/>
          <w:bCs/>
          <w:color w:val="000000" w:themeColor="text1"/>
          <w:sz w:val="20"/>
          <w:szCs w:val="20"/>
        </w:rPr>
        <w:t>prawidłowość</w:t>
      </w:r>
      <w:r w:rsidRPr="005C158A">
        <w:rPr>
          <w:rFonts w:ascii="Arial" w:hAnsi="Arial" w:cs="Arial"/>
          <w:color w:val="000000" w:themeColor="text1"/>
          <w:sz w:val="20"/>
          <w:szCs w:val="20"/>
        </w:rPr>
        <w:t xml:space="preserve">, </w:t>
      </w:r>
      <w:r w:rsidRPr="005C158A">
        <w:rPr>
          <w:rFonts w:ascii="Arial" w:hAnsi="Arial" w:cs="Arial"/>
          <w:bCs/>
          <w:color w:val="000000" w:themeColor="text1"/>
          <w:sz w:val="20"/>
          <w:szCs w:val="20"/>
        </w:rPr>
        <w:t>ograniczenie czasowe</w:t>
      </w:r>
      <w:r w:rsidRPr="005C158A">
        <w:rPr>
          <w:rFonts w:ascii="Arial" w:hAnsi="Arial" w:cs="Arial"/>
          <w:color w:val="000000" w:themeColor="text1"/>
          <w:sz w:val="20"/>
          <w:szCs w:val="20"/>
        </w:rPr>
        <w:t xml:space="preserve">, </w:t>
      </w:r>
      <w:r w:rsidRPr="005C158A">
        <w:rPr>
          <w:rFonts w:ascii="Arial" w:hAnsi="Arial" w:cs="Arial"/>
          <w:bCs/>
          <w:color w:val="000000" w:themeColor="text1"/>
          <w:sz w:val="20"/>
          <w:szCs w:val="20"/>
        </w:rPr>
        <w:t>integralność</w:t>
      </w:r>
      <w:r w:rsidRPr="005C158A">
        <w:rPr>
          <w:rFonts w:ascii="Arial" w:hAnsi="Arial" w:cs="Arial"/>
          <w:color w:val="000000" w:themeColor="text1"/>
          <w:sz w:val="20"/>
          <w:szCs w:val="20"/>
        </w:rPr>
        <w:t xml:space="preserve">, </w:t>
      </w:r>
      <w:r w:rsidRPr="005C158A">
        <w:rPr>
          <w:rFonts w:ascii="Arial" w:hAnsi="Arial" w:cs="Arial"/>
          <w:bCs/>
          <w:color w:val="000000" w:themeColor="text1"/>
          <w:sz w:val="20"/>
          <w:szCs w:val="20"/>
        </w:rPr>
        <w:t>poufność</w:t>
      </w:r>
      <w:r w:rsidRPr="005C158A">
        <w:rPr>
          <w:rFonts w:ascii="Arial" w:hAnsi="Arial" w:cs="Arial"/>
          <w:color w:val="000000" w:themeColor="text1"/>
          <w:sz w:val="20"/>
          <w:szCs w:val="20"/>
        </w:rPr>
        <w:t xml:space="preserve"> i </w:t>
      </w:r>
      <w:r w:rsidRPr="005C158A">
        <w:rPr>
          <w:rFonts w:ascii="Arial" w:hAnsi="Arial" w:cs="Arial"/>
          <w:bCs/>
          <w:color w:val="000000" w:themeColor="text1"/>
          <w:sz w:val="20"/>
          <w:szCs w:val="20"/>
        </w:rPr>
        <w:t>rozliczalność</w:t>
      </w:r>
      <w:r w:rsidRPr="005C158A">
        <w:rPr>
          <w:rFonts w:ascii="Arial" w:hAnsi="Arial" w:cs="Arial"/>
          <w:color w:val="000000" w:themeColor="text1"/>
          <w:sz w:val="20"/>
          <w:szCs w:val="20"/>
        </w:rPr>
        <w:t xml:space="preserve">. Zatem wszelkie czynności związane z pozyskiwaniem danych osobowych, a następnie z </w:t>
      </w:r>
      <w:r w:rsidRPr="005C158A">
        <w:rPr>
          <w:rFonts w:ascii="Arial" w:hAnsi="Arial" w:cs="Arial"/>
          <w:color w:val="000000" w:themeColor="text1"/>
          <w:sz w:val="20"/>
          <w:szCs w:val="20"/>
        </w:rPr>
        <w:lastRenderedPageBreak/>
        <w:t xml:space="preserve">ich przetwarzaniem i przechowywaniem, należy oceniać z perspektywy wymienionych powyżej zasad (tj. </w:t>
      </w:r>
      <w:hyperlink r:id="rId9" w:history="1">
        <w:r w:rsidRPr="005C158A">
          <w:rPr>
            <w:rFonts w:ascii="Arial" w:hAnsi="Arial" w:cs="Arial"/>
            <w:color w:val="000000" w:themeColor="text1"/>
            <w:sz w:val="20"/>
            <w:szCs w:val="20"/>
          </w:rPr>
          <w:t>art. 5</w:t>
        </w:r>
      </w:hyperlink>
      <w:r w:rsidRPr="005C158A">
        <w:rPr>
          <w:rFonts w:ascii="Arial" w:hAnsi="Arial" w:cs="Arial"/>
          <w:color w:val="000000" w:themeColor="text1"/>
          <w:sz w:val="20"/>
          <w:szCs w:val="20"/>
        </w:rPr>
        <w:t xml:space="preserve"> RODO).</w:t>
      </w:r>
    </w:p>
    <w:p w14:paraId="4340B0ED" w14:textId="383FF7F5" w:rsidR="009A3E5D" w:rsidRPr="005C158A" w:rsidRDefault="009A3E5D" w:rsidP="009A3E5D">
      <w:pPr>
        <w:spacing w:before="120" w:after="120" w:line="360" w:lineRule="auto"/>
        <w:jc w:val="both"/>
        <w:rPr>
          <w:rFonts w:ascii="Arial" w:hAnsi="Arial" w:cs="Arial"/>
          <w:sz w:val="20"/>
          <w:szCs w:val="20"/>
        </w:rPr>
      </w:pPr>
      <w:r w:rsidRPr="005C158A">
        <w:rPr>
          <w:rFonts w:ascii="Arial" w:hAnsi="Arial" w:cs="Arial"/>
          <w:color w:val="000000" w:themeColor="text1"/>
          <w:sz w:val="20"/>
          <w:szCs w:val="20"/>
        </w:rPr>
        <w:t>Zaprojektowany przepis w niniejszym projekcie ustawy koresponduje przede wszystkim z zasadą adekwatności (</w:t>
      </w:r>
      <w:hyperlink r:id="rId10" w:history="1">
        <w:r w:rsidRPr="005C158A">
          <w:rPr>
            <w:rFonts w:ascii="Arial" w:hAnsi="Arial" w:cs="Arial"/>
            <w:color w:val="000000" w:themeColor="text1"/>
            <w:sz w:val="20"/>
            <w:szCs w:val="20"/>
          </w:rPr>
          <w:t>art. 5 ust. 1 lit. c</w:t>
        </w:r>
      </w:hyperlink>
      <w:r w:rsidRPr="005C158A">
        <w:rPr>
          <w:rFonts w:ascii="Arial" w:hAnsi="Arial" w:cs="Arial"/>
          <w:color w:val="000000" w:themeColor="text1"/>
          <w:sz w:val="20"/>
          <w:szCs w:val="20"/>
        </w:rPr>
        <w:t xml:space="preserve"> RODO), która dopuszcza możliwość zbierania tylko danych niezbędnych do osiągnięcia celu przetwarzania. W omawianym przypadku celem tym jest </w:t>
      </w:r>
      <w:r w:rsidRPr="005C158A">
        <w:rPr>
          <w:rFonts w:ascii="Arial" w:hAnsi="Arial" w:cs="Arial"/>
          <w:sz w:val="20"/>
          <w:szCs w:val="20"/>
        </w:rPr>
        <w:t>umożliwienie prowadzenia drobnej aktywności ekonomicznej przez osoby fizyczne przy zachowaniu jak najmniejszych formalności i obowiązków publicznych oraz doprecyzowanie regulacji, które budzą obecnie wątpliwości.</w:t>
      </w:r>
      <w:r w:rsidRPr="005C158A">
        <w:rPr>
          <w:rFonts w:ascii="Arial" w:hAnsi="Arial" w:cs="Arial"/>
          <w:color w:val="000000" w:themeColor="text1"/>
          <w:sz w:val="20"/>
          <w:szCs w:val="20"/>
        </w:rPr>
        <w:t xml:space="preserve"> </w:t>
      </w:r>
      <w:r w:rsidRPr="005C158A">
        <w:rPr>
          <w:rStyle w:val="Uwydatnienie"/>
          <w:rFonts w:ascii="Arial" w:hAnsi="Arial" w:cs="Arial"/>
          <w:i w:val="0"/>
          <w:iCs w:val="0"/>
          <w:sz w:val="20"/>
          <w:szCs w:val="20"/>
        </w:rPr>
        <w:t xml:space="preserve">Efektem tej zmiany będzie wyeliminowanie najistotniejszych wątpliwości praktycznych funkcjonowania tej instytucji – z korzyścią zarówno dla obywateli, jak i dla organów. </w:t>
      </w:r>
    </w:p>
    <w:p w14:paraId="09F5C777" w14:textId="2E95A22C" w:rsidR="00625D07" w:rsidRPr="005C158A" w:rsidRDefault="009A3E5D" w:rsidP="00401710">
      <w:pPr>
        <w:pStyle w:val="Nagwek2"/>
        <w:spacing w:before="120" w:after="120" w:line="360" w:lineRule="auto"/>
        <w:jc w:val="both"/>
        <w:rPr>
          <w:rFonts w:ascii="Arial" w:hAnsi="Arial" w:cs="Arial"/>
          <w:color w:val="auto"/>
          <w:sz w:val="20"/>
          <w:szCs w:val="20"/>
        </w:rPr>
      </w:pPr>
      <w:bookmarkStart w:id="36" w:name="_Toc138329756"/>
      <w:r w:rsidRPr="005C158A">
        <w:rPr>
          <w:rFonts w:ascii="Arial" w:hAnsi="Arial" w:cs="Arial"/>
          <w:color w:val="auto"/>
          <w:sz w:val="20"/>
          <w:szCs w:val="20"/>
        </w:rPr>
        <w:t xml:space="preserve">Ustawa </w:t>
      </w:r>
      <w:r w:rsidR="00625D07" w:rsidRPr="005C158A">
        <w:rPr>
          <w:rFonts w:ascii="Arial" w:hAnsi="Arial" w:cs="Arial"/>
          <w:color w:val="auto"/>
          <w:sz w:val="20"/>
          <w:szCs w:val="20"/>
        </w:rPr>
        <w:t>z dnia 9 listopada 1995 r. o ochronie zdrowia przed następstwami używania tytoniu i</w:t>
      </w:r>
      <w:r w:rsidR="00295358" w:rsidRPr="005C158A">
        <w:rPr>
          <w:rFonts w:ascii="Arial" w:hAnsi="Arial" w:cs="Arial"/>
          <w:color w:val="auto"/>
          <w:sz w:val="20"/>
          <w:szCs w:val="20"/>
        </w:rPr>
        <w:t> </w:t>
      </w:r>
      <w:r w:rsidR="00625D07" w:rsidRPr="005C158A">
        <w:rPr>
          <w:rFonts w:ascii="Arial" w:hAnsi="Arial" w:cs="Arial"/>
          <w:color w:val="auto"/>
          <w:sz w:val="20"/>
          <w:szCs w:val="20"/>
        </w:rPr>
        <w:t>wyrobów</w:t>
      </w:r>
      <w:r w:rsidR="00646F91" w:rsidRPr="005C158A">
        <w:rPr>
          <w:rFonts w:ascii="Arial" w:hAnsi="Arial" w:cs="Arial"/>
          <w:color w:val="auto"/>
          <w:sz w:val="20"/>
          <w:szCs w:val="20"/>
        </w:rPr>
        <w:t xml:space="preserve"> tytoniowych</w:t>
      </w:r>
      <w:bookmarkEnd w:id="36"/>
      <w:r w:rsidR="00625D07" w:rsidRPr="005C158A">
        <w:rPr>
          <w:rFonts w:ascii="Arial" w:hAnsi="Arial" w:cs="Arial"/>
          <w:color w:val="auto"/>
          <w:sz w:val="20"/>
          <w:szCs w:val="20"/>
        </w:rPr>
        <w:t xml:space="preserve"> </w:t>
      </w:r>
    </w:p>
    <w:p w14:paraId="07C448F6" w14:textId="5EB4EB2F" w:rsidR="00C72A70" w:rsidRPr="005C158A" w:rsidRDefault="00C72A70" w:rsidP="00401710">
      <w:pPr>
        <w:spacing w:line="360" w:lineRule="auto"/>
        <w:jc w:val="both"/>
        <w:rPr>
          <w:rFonts w:ascii="Arial" w:hAnsi="Arial" w:cs="Arial"/>
          <w:sz w:val="20"/>
          <w:szCs w:val="20"/>
        </w:rPr>
      </w:pPr>
      <w:r w:rsidRPr="005C158A">
        <w:rPr>
          <w:rFonts w:ascii="Arial" w:hAnsi="Arial" w:cs="Arial"/>
          <w:sz w:val="20"/>
          <w:szCs w:val="20"/>
        </w:rPr>
        <w:t xml:space="preserve">Proponuje się odstąpienie od zasady dwuinstancyjności w zakresie, o którym mowa w art. 15a. Rozwiązanie to jest podyktowane brakiem możliwości zachowania istoty zasady dwuinstancyjności postępowania administracyjnego polegającej na dwukrotnym rozpatrzeniu i rozstrzygnięciu przez dwa różne organy tej samej sprawy wyznaczonej treścią zaskarżonego rozstrzygnięcia. </w:t>
      </w:r>
    </w:p>
    <w:p w14:paraId="102FB134" w14:textId="77777777" w:rsidR="00C72A70" w:rsidRPr="005C158A" w:rsidRDefault="00C72A70" w:rsidP="00401710">
      <w:pPr>
        <w:spacing w:line="360" w:lineRule="auto"/>
        <w:jc w:val="both"/>
        <w:rPr>
          <w:rFonts w:ascii="Arial" w:hAnsi="Arial" w:cs="Arial"/>
          <w:sz w:val="20"/>
          <w:szCs w:val="20"/>
        </w:rPr>
      </w:pPr>
      <w:r w:rsidRPr="005C158A">
        <w:rPr>
          <w:rFonts w:ascii="Arial" w:hAnsi="Arial" w:cs="Arial"/>
          <w:sz w:val="20"/>
          <w:szCs w:val="20"/>
        </w:rPr>
        <w:t xml:space="preserve">Naruszenia, o których mowa w art. 15a ww. ustawy mogą zostać stwierdzone jedynie poprzez analizę danych zawartych w systemie EU-CEG. Minister właściwy do spraw zdrowia nie dysponuje dostępem do tego systemu. W związku z tym nie dysponuje realną możliwością przeprowadzenia postępowania dowodowego w sprawach wszczętych na podstawie art. 15a ww. ustawy. Kontrola ministra byłaby ograniczona z uwagi na charakter sprawy, co zaprzeczałoby celowi postępowania dwuinstancyjnego. </w:t>
      </w:r>
    </w:p>
    <w:p w14:paraId="10ADD556" w14:textId="6C461EAF" w:rsidR="00C72A70" w:rsidRPr="005C158A" w:rsidRDefault="00C72A70" w:rsidP="00401710">
      <w:pPr>
        <w:spacing w:line="360" w:lineRule="auto"/>
        <w:jc w:val="both"/>
        <w:rPr>
          <w:rFonts w:ascii="Arial" w:hAnsi="Arial" w:cs="Arial"/>
          <w:sz w:val="20"/>
          <w:szCs w:val="20"/>
        </w:rPr>
      </w:pPr>
      <w:r w:rsidRPr="005C158A">
        <w:rPr>
          <w:rFonts w:ascii="Arial" w:hAnsi="Arial" w:cs="Arial"/>
          <w:sz w:val="20"/>
          <w:szCs w:val="20"/>
        </w:rPr>
        <w:t xml:space="preserve">System EU-CEG został stworzony przez Komisję Europejską na potrzeby wdrażania przepisów Dyrektywy Parlamentu Europejskiego i Rady 2014/40/UE z dnia 3 kwietnia 2014 r. </w:t>
      </w:r>
      <w:r w:rsidR="0064226B" w:rsidRPr="005C158A">
        <w:rPr>
          <w:rFonts w:ascii="Arial" w:hAnsi="Arial" w:cs="Arial"/>
          <w:sz w:val="20"/>
          <w:szCs w:val="20"/>
        </w:rPr>
        <w:t xml:space="preserve">w sprawie zbliżenia przepisów ustawowych, wykonawczych i administracyjnych państw członkowskich w sprawie produkcji, prezentowania i sprzedaży wyrobów tytoniowych i powiązanych wyrobów oraz uchylająca dyrektywę 2001/37/WE. </w:t>
      </w:r>
      <w:r w:rsidRPr="005C158A">
        <w:rPr>
          <w:rFonts w:ascii="Arial" w:hAnsi="Arial" w:cs="Arial"/>
          <w:sz w:val="20"/>
          <w:szCs w:val="20"/>
        </w:rPr>
        <w:t xml:space="preserve">Dostęp do systemu EU-CEG wymagał podpisania przez </w:t>
      </w:r>
      <w:r w:rsidR="0064226B" w:rsidRPr="005C158A">
        <w:rPr>
          <w:rFonts w:ascii="Arial" w:hAnsi="Arial" w:cs="Arial"/>
          <w:sz w:val="20"/>
          <w:szCs w:val="20"/>
        </w:rPr>
        <w:t>p</w:t>
      </w:r>
      <w:r w:rsidRPr="005C158A">
        <w:rPr>
          <w:rFonts w:ascii="Arial" w:hAnsi="Arial" w:cs="Arial"/>
          <w:sz w:val="20"/>
          <w:szCs w:val="20"/>
        </w:rPr>
        <w:t xml:space="preserve">aństwa </w:t>
      </w:r>
      <w:r w:rsidR="0064226B" w:rsidRPr="005C158A">
        <w:rPr>
          <w:rFonts w:ascii="Arial" w:hAnsi="Arial" w:cs="Arial"/>
          <w:sz w:val="20"/>
          <w:szCs w:val="20"/>
        </w:rPr>
        <w:t>c</w:t>
      </w:r>
      <w:r w:rsidRPr="005C158A">
        <w:rPr>
          <w:rFonts w:ascii="Arial" w:hAnsi="Arial" w:cs="Arial"/>
          <w:sz w:val="20"/>
          <w:szCs w:val="20"/>
        </w:rPr>
        <w:t>złonkowskie specjalnej umowy (SLA) z Komisją Europejską. Umowa określała między innymi warunki techniczne konieczne do przyłączenia się do systemu poprzez izolowaną od Internetu sieć TESTA. Jedynym sygnatariuszem tej umowy był Inspektor do spraw Substancji Chemicznych</w:t>
      </w:r>
      <w:r w:rsidR="00646F91" w:rsidRPr="005C158A">
        <w:rPr>
          <w:rFonts w:ascii="Arial" w:hAnsi="Arial" w:cs="Arial"/>
          <w:sz w:val="20"/>
          <w:szCs w:val="20"/>
        </w:rPr>
        <w:t xml:space="preserve"> (obecnie Prezes Biura do spraw Substancji Chemicznych)</w:t>
      </w:r>
      <w:r w:rsidRPr="005C158A">
        <w:rPr>
          <w:rFonts w:ascii="Arial" w:hAnsi="Arial" w:cs="Arial"/>
          <w:sz w:val="20"/>
          <w:szCs w:val="20"/>
        </w:rPr>
        <w:t>, który po spełnieniu wszystkich wymagań zawartych w SLA, posiada dostęp do EU-CEG.</w:t>
      </w:r>
    </w:p>
    <w:p w14:paraId="0CDCE21B" w14:textId="08422F8B" w:rsidR="00E74A28" w:rsidRPr="005C158A" w:rsidRDefault="00855C56" w:rsidP="00401710">
      <w:pPr>
        <w:pStyle w:val="Nagwek2"/>
        <w:spacing w:before="120" w:after="120" w:line="360" w:lineRule="auto"/>
        <w:jc w:val="both"/>
        <w:rPr>
          <w:rFonts w:ascii="Arial" w:hAnsi="Arial" w:cs="Arial"/>
          <w:color w:val="auto"/>
          <w:sz w:val="20"/>
          <w:szCs w:val="20"/>
        </w:rPr>
      </w:pPr>
      <w:bookmarkStart w:id="37" w:name="_Toc138329757"/>
      <w:r w:rsidRPr="005C158A">
        <w:rPr>
          <w:rFonts w:ascii="Arial" w:hAnsi="Arial" w:cs="Arial"/>
          <w:color w:val="auto"/>
          <w:sz w:val="20"/>
          <w:szCs w:val="20"/>
        </w:rPr>
        <w:t>Ustawa</w:t>
      </w:r>
      <w:r w:rsidR="00E74A28" w:rsidRPr="005C158A">
        <w:rPr>
          <w:rFonts w:ascii="Arial" w:hAnsi="Arial" w:cs="Arial"/>
          <w:color w:val="auto"/>
          <w:sz w:val="20"/>
          <w:szCs w:val="20"/>
        </w:rPr>
        <w:t xml:space="preserve"> z dnia 5 grudnia 1996 r. o zawodach lekarza i lekarza dentysty</w:t>
      </w:r>
      <w:bookmarkEnd w:id="37"/>
      <w:r w:rsidR="00E74A28" w:rsidRPr="005C158A">
        <w:rPr>
          <w:rFonts w:ascii="Arial" w:hAnsi="Arial" w:cs="Arial"/>
          <w:b w:val="0"/>
          <w:i/>
          <w:color w:val="auto"/>
          <w:sz w:val="20"/>
          <w:szCs w:val="20"/>
        </w:rPr>
        <w:t xml:space="preserve"> </w:t>
      </w:r>
    </w:p>
    <w:p w14:paraId="3558E801" w14:textId="281EE46C" w:rsidR="00E74A28" w:rsidRPr="005C158A" w:rsidRDefault="00434217" w:rsidP="00401710">
      <w:pPr>
        <w:spacing w:before="120" w:after="120" w:line="360" w:lineRule="auto"/>
        <w:jc w:val="both"/>
        <w:rPr>
          <w:rFonts w:ascii="Arial" w:hAnsi="Arial" w:cs="Arial"/>
          <w:sz w:val="20"/>
          <w:szCs w:val="20"/>
        </w:rPr>
      </w:pPr>
      <w:bookmarkStart w:id="38" w:name="_Hlk117836220"/>
      <w:r w:rsidRPr="005C158A">
        <w:rPr>
          <w:rFonts w:ascii="Arial" w:hAnsi="Arial" w:cs="Arial"/>
          <w:bCs/>
          <w:iCs/>
          <w:sz w:val="20"/>
          <w:szCs w:val="20"/>
        </w:rPr>
        <w:t xml:space="preserve">Zmiana w niniejszej ustawie dotyczy odstąpienia od zasady dwuinstancyjności. </w:t>
      </w:r>
      <w:r w:rsidR="00E74A28" w:rsidRPr="005C158A">
        <w:rPr>
          <w:rFonts w:ascii="Arial" w:hAnsi="Arial" w:cs="Arial"/>
          <w:sz w:val="20"/>
          <w:szCs w:val="20"/>
        </w:rPr>
        <w:t xml:space="preserve">W ustawie o zawodach lekarza i lekarza dentysty art. 16o ust. 4 reguluje skreślenie lekarza pełniącego służbę lub zatrudnionego w podmiocie leczniczym utworzonym przez ministra właściwego do spraw wewnętrznych z rejestru lekarzy odbywających szkolenie specjalizacyjne prowadzonego przez Centrum Medyczne Kształcenia Podyplomowego. Katalog przyczyn uniemożliwiających realizację lub kontynuowanie szkolenia specjalizacyjnego ma charakter zamknięty. Skreślenie lekarza z rejestru lekarzy odbywających szkolenie specjalizacyjne następuje w drodze decyzji, do której zastosowanie mają przepisy </w:t>
      </w:r>
      <w:r w:rsidR="00855C56" w:rsidRPr="005C158A">
        <w:rPr>
          <w:rFonts w:ascii="Arial" w:hAnsi="Arial" w:cs="Arial"/>
          <w:sz w:val="20"/>
          <w:szCs w:val="20"/>
        </w:rPr>
        <w:t>Kpa</w:t>
      </w:r>
      <w:r w:rsidR="00E74A28" w:rsidRPr="005C158A">
        <w:rPr>
          <w:rFonts w:ascii="Arial" w:hAnsi="Arial" w:cs="Arial"/>
          <w:sz w:val="20"/>
          <w:szCs w:val="20"/>
        </w:rPr>
        <w:t xml:space="preserve">. </w:t>
      </w:r>
    </w:p>
    <w:p w14:paraId="2438BFD4" w14:textId="1032D799" w:rsidR="00E74A28" w:rsidRPr="005C158A" w:rsidRDefault="00C72A70" w:rsidP="00401710">
      <w:pPr>
        <w:spacing w:before="120" w:after="120" w:line="360" w:lineRule="auto"/>
        <w:jc w:val="both"/>
        <w:rPr>
          <w:rFonts w:ascii="Arial" w:hAnsi="Arial" w:cs="Arial"/>
          <w:sz w:val="20"/>
          <w:szCs w:val="20"/>
        </w:rPr>
      </w:pPr>
      <w:r w:rsidRPr="005C158A">
        <w:rPr>
          <w:rFonts w:ascii="Arial" w:hAnsi="Arial" w:cs="Arial"/>
          <w:sz w:val="20"/>
          <w:szCs w:val="20"/>
        </w:rPr>
        <w:lastRenderedPageBreak/>
        <w:t>N</w:t>
      </w:r>
      <w:r w:rsidR="00E74A28" w:rsidRPr="005C158A">
        <w:rPr>
          <w:rFonts w:ascii="Arial" w:hAnsi="Arial" w:cs="Arial"/>
          <w:sz w:val="20"/>
          <w:szCs w:val="20"/>
        </w:rPr>
        <w:t>ależy</w:t>
      </w:r>
      <w:r w:rsidRPr="005C158A">
        <w:rPr>
          <w:rFonts w:ascii="Arial" w:hAnsi="Arial" w:cs="Arial"/>
          <w:sz w:val="20"/>
          <w:szCs w:val="20"/>
        </w:rPr>
        <w:t xml:space="preserve"> wskazać</w:t>
      </w:r>
      <w:r w:rsidR="00E74A28" w:rsidRPr="005C158A">
        <w:rPr>
          <w:rFonts w:ascii="Arial" w:hAnsi="Arial" w:cs="Arial"/>
          <w:sz w:val="20"/>
          <w:szCs w:val="20"/>
        </w:rPr>
        <w:t xml:space="preserve">, </w:t>
      </w:r>
      <w:r w:rsidR="00D44FE1" w:rsidRPr="005C158A">
        <w:rPr>
          <w:rFonts w:ascii="Arial" w:hAnsi="Arial" w:cs="Arial"/>
          <w:sz w:val="20"/>
          <w:szCs w:val="20"/>
        </w:rPr>
        <w:t>że</w:t>
      </w:r>
      <w:r w:rsidR="00E74A28" w:rsidRPr="005C158A">
        <w:rPr>
          <w:rFonts w:ascii="Arial" w:hAnsi="Arial" w:cs="Arial"/>
          <w:sz w:val="20"/>
          <w:szCs w:val="20"/>
        </w:rPr>
        <w:t xml:space="preserve"> decyzja w przedmiotowej sprawie ma charakter związany, co oznacza, że w przypadku zaistnienia przesłanek określonych w art. 16o ust. 1 wskazujących na brak możliwości realizacji lub kontynuowania szkolenia specjalizacyjnego </w:t>
      </w:r>
      <w:r w:rsidRPr="005C158A">
        <w:rPr>
          <w:rFonts w:ascii="Arial" w:hAnsi="Arial" w:cs="Arial"/>
          <w:sz w:val="20"/>
          <w:szCs w:val="20"/>
        </w:rPr>
        <w:t xml:space="preserve">wojewoda, minister obrony narodowej albo </w:t>
      </w:r>
      <w:r w:rsidR="00E74A28" w:rsidRPr="005C158A">
        <w:rPr>
          <w:rFonts w:ascii="Arial" w:hAnsi="Arial" w:cs="Arial"/>
          <w:sz w:val="20"/>
          <w:szCs w:val="20"/>
        </w:rPr>
        <w:t xml:space="preserve">minister właściwy do spraw wewnętrznych jest zobowiązany do wydania decyzji pozytywnej, tj. skreślenia lekarza pełniącego służbę lub zatrudnionego w podmiocie leczniczym utworzonym przez tego ministra z rejestru lekarzy odbywających szkolenie specjalizacyjne. </w:t>
      </w:r>
      <w:bookmarkStart w:id="39" w:name="mip42270576"/>
      <w:bookmarkEnd w:id="39"/>
    </w:p>
    <w:p w14:paraId="3BC9AD6A" w14:textId="107513B9" w:rsidR="00D7624B" w:rsidRPr="005C158A" w:rsidRDefault="00855C56" w:rsidP="00D7624B">
      <w:pPr>
        <w:pStyle w:val="Nagwek2"/>
        <w:spacing w:before="120" w:after="120" w:line="360" w:lineRule="auto"/>
        <w:jc w:val="both"/>
        <w:rPr>
          <w:rFonts w:ascii="Arial" w:hAnsi="Arial" w:cs="Arial"/>
          <w:color w:val="auto"/>
          <w:sz w:val="20"/>
          <w:szCs w:val="20"/>
        </w:rPr>
      </w:pPr>
      <w:bookmarkStart w:id="40" w:name="_Toc138329758"/>
      <w:bookmarkEnd w:id="38"/>
      <w:r w:rsidRPr="005C158A">
        <w:rPr>
          <w:rFonts w:ascii="Arial" w:hAnsi="Arial" w:cs="Arial"/>
          <w:color w:val="auto"/>
          <w:sz w:val="20"/>
          <w:szCs w:val="20"/>
        </w:rPr>
        <w:t>Ustawa</w:t>
      </w:r>
      <w:r w:rsidR="00F66AC7" w:rsidRPr="005C158A">
        <w:rPr>
          <w:rFonts w:ascii="Arial" w:hAnsi="Arial" w:cs="Arial"/>
          <w:color w:val="auto"/>
          <w:sz w:val="20"/>
          <w:szCs w:val="20"/>
        </w:rPr>
        <w:t xml:space="preserve"> z dnia 20 sierpnia 1997 r. o Krajowym Rejestrze Sądowym</w:t>
      </w:r>
      <w:bookmarkEnd w:id="40"/>
    </w:p>
    <w:p w14:paraId="3FDDD98E" w14:textId="737E50C8" w:rsidR="009F6625" w:rsidRPr="005C158A" w:rsidRDefault="009F6625" w:rsidP="009F6625">
      <w:pPr>
        <w:spacing w:before="120" w:after="120" w:line="360" w:lineRule="auto"/>
        <w:jc w:val="both"/>
        <w:rPr>
          <w:rFonts w:ascii="Arial" w:hAnsi="Arial" w:cs="Arial"/>
          <w:sz w:val="20"/>
          <w:szCs w:val="20"/>
        </w:rPr>
      </w:pPr>
      <w:r w:rsidRPr="005C158A">
        <w:rPr>
          <w:rFonts w:ascii="Arial" w:hAnsi="Arial" w:cs="Arial"/>
          <w:sz w:val="20"/>
          <w:szCs w:val="20"/>
        </w:rPr>
        <w:t>Projekt</w:t>
      </w:r>
      <w:r w:rsidR="00D7624B" w:rsidRPr="005C158A">
        <w:rPr>
          <w:rFonts w:ascii="Arial" w:hAnsi="Arial" w:cs="Arial"/>
          <w:sz w:val="20"/>
          <w:szCs w:val="20"/>
        </w:rPr>
        <w:t xml:space="preserve"> </w:t>
      </w:r>
      <w:r w:rsidRPr="005C158A">
        <w:rPr>
          <w:rFonts w:ascii="Arial" w:hAnsi="Arial" w:cs="Arial"/>
          <w:sz w:val="20"/>
          <w:szCs w:val="20"/>
        </w:rPr>
        <w:t xml:space="preserve">dodaje </w:t>
      </w:r>
      <w:r w:rsidRPr="005C158A">
        <w:rPr>
          <w:rFonts w:ascii="Arial" w:hAnsi="Arial" w:cs="Arial"/>
          <w:b/>
          <w:bCs/>
          <w:sz w:val="20"/>
          <w:szCs w:val="20"/>
        </w:rPr>
        <w:t>art. 19ab ust. 1</w:t>
      </w:r>
      <w:r w:rsidRPr="005C158A">
        <w:rPr>
          <w:rFonts w:ascii="Arial" w:hAnsi="Arial" w:cs="Arial"/>
          <w:sz w:val="20"/>
          <w:szCs w:val="20"/>
        </w:rPr>
        <w:t xml:space="preserve"> ustawy o KRS przewidujący obowiązek posiadania przez podmiot, na który przepisy ustaw nakładają obowiązek uzyskania wpisu do Krajowego Rejestru Sądowego, tytułu prawnego do korzystania z lokalu (nieruchomości), którego adres podmiot ten zgłosił do Rejestru jako swój adres. Zgodnie natomiast z projektowanym art. 19ab ust. 2 ustawy o KRS do wniosku o wpis lub zmianę takiego adresu należało będzie dołączyć oświadczenie wszystkich osób podpisujących wniosek, a w przypadku podpisania wniosku przez pełnomocnika oświadczenie wszystkich osób, które udzieliły mu pełnomocnictwa, o posiadaniu przez podmiot tytułu prawnego do korzystania z lokalu (nieruchomości), którego adres został zgłoszony do Rejestru jako adres podmiotu. Oświadczenie to należało będzie złożyć pod rygorem odpowiedzialności karnej za złożenie fałszywego oświadczenia, zawierając w nim klauzulę o treści: „Jestem świadomy odpowiedzialności karnej za złożenie fałszywego oświadczenia.”. Klauzula ta będzie zastępować pouczenie organu uprawnionego do odebrania oświadczenia o odpowiedzialności karnej za złożenie fałszywego oświadczenia. </w:t>
      </w:r>
    </w:p>
    <w:p w14:paraId="3C879706" w14:textId="11F35A5A" w:rsidR="009F6625" w:rsidRPr="005C158A" w:rsidRDefault="009F6625" w:rsidP="009F6625">
      <w:pPr>
        <w:spacing w:before="120" w:after="120" w:line="360" w:lineRule="auto"/>
        <w:jc w:val="both"/>
        <w:rPr>
          <w:rFonts w:ascii="Arial" w:hAnsi="Arial" w:cs="Arial"/>
          <w:sz w:val="20"/>
          <w:szCs w:val="20"/>
        </w:rPr>
      </w:pPr>
      <w:r w:rsidRPr="005C158A">
        <w:rPr>
          <w:rFonts w:ascii="Arial" w:hAnsi="Arial" w:cs="Arial"/>
          <w:sz w:val="20"/>
          <w:szCs w:val="20"/>
        </w:rPr>
        <w:t>Zmiana polegająca na dodaniu art. 19ab ustawy o KRS ma na celu wzmocnienie domniemania prawdziwości wpisów w zakresie danych dotyczących adresów podmiotów podlegających obowiązkowi rejestracji w Rejestrze. Obowiązujące regulacje nie przewidują obowiązku posiadania przez podmiot wpisywany do Rejestru tytułu prawnego do korzystania z lokalu (nieruchomości), którego adres zgłasza on do Rejestru jako swój adres, ani też obowiązku złożenia przez reprezentantów tego podmiotu oświadczenia w tym przedmiocie. Niestety w wielu przypadkach dane adresowe zgłaszane do Rejestru nie odpowiadają stanowi faktycznemu. Sytuacja taka ułatwia tworzenie tzw. fikcyjnych podmiotów, których funkcjonowanie stanowi istotne zagrożenie dla bezpieczeństwa obrotu prawnego. Zobowiązanie do podawania danych adresowych pod rygorem odpowiedzialności karnej ograniczy proceder podawania informacji nieodpowiadających prawdzie oraz ułatwi pociągnięcie do odpowiedzialności karnej osób składających fałszywe oświadczenia.</w:t>
      </w:r>
    </w:p>
    <w:p w14:paraId="4CCBD6EC" w14:textId="4FEDF839" w:rsidR="007F236E" w:rsidRPr="005C158A" w:rsidRDefault="009F6625" w:rsidP="009F6625">
      <w:pPr>
        <w:spacing w:before="120" w:after="120" w:line="360" w:lineRule="auto"/>
        <w:jc w:val="both"/>
        <w:rPr>
          <w:rFonts w:ascii="Arial" w:hAnsi="Arial" w:cs="Arial"/>
          <w:sz w:val="20"/>
          <w:szCs w:val="20"/>
        </w:rPr>
      </w:pPr>
      <w:r w:rsidRPr="005C158A">
        <w:rPr>
          <w:rFonts w:ascii="Arial" w:hAnsi="Arial" w:cs="Arial"/>
          <w:sz w:val="20"/>
          <w:szCs w:val="20"/>
        </w:rPr>
        <w:t>Podkreślenia wymaga, że analogiczne wymogi wprowadzono w przepisach dotyczących Centralnej Ewidencji i Informacji o Działalności Gospodarczej [por. art. 7 ust. 1 pkt 2 i ust. 2 oraz art. 17 ustawy dnia 6 marca 2018 r. o Centralnej Ewidencji i Informacji o Działalności Gospodarczej i Punkcie Informacji dla Przedsiębiorcy. Projektowany art. 19ab ustawy o KRS ujednolica zatem obowiązki dotyczące podania danych adresowych obowiązujące przedsiębiorców podlegających wpisowi do Krajowego Rejestru Sądowego z wymogami nałożonymi na przedsiębiorców wpisywanych do Centralnej Ewidencji i Informacji o Działalności Gospodarczej.</w:t>
      </w:r>
    </w:p>
    <w:p w14:paraId="0B6650DE" w14:textId="3A980EA8" w:rsidR="00B93BA5" w:rsidRPr="005C158A" w:rsidRDefault="00855C56" w:rsidP="00401710">
      <w:pPr>
        <w:pStyle w:val="Nagwek2"/>
        <w:spacing w:before="120" w:after="120" w:line="360" w:lineRule="auto"/>
        <w:jc w:val="both"/>
        <w:rPr>
          <w:rFonts w:ascii="Arial" w:hAnsi="Arial" w:cs="Arial"/>
          <w:color w:val="auto"/>
          <w:sz w:val="20"/>
          <w:szCs w:val="20"/>
        </w:rPr>
      </w:pPr>
      <w:bookmarkStart w:id="41" w:name="_Toc138329759"/>
      <w:r w:rsidRPr="005C158A">
        <w:rPr>
          <w:rFonts w:ascii="Arial" w:hAnsi="Arial" w:cs="Arial"/>
          <w:color w:val="auto"/>
          <w:sz w:val="20"/>
          <w:szCs w:val="20"/>
        </w:rPr>
        <w:lastRenderedPageBreak/>
        <w:t>Ustawa</w:t>
      </w:r>
      <w:r w:rsidR="00B93BA5" w:rsidRPr="005C158A">
        <w:rPr>
          <w:rFonts w:ascii="Arial" w:hAnsi="Arial" w:cs="Arial"/>
          <w:color w:val="auto"/>
          <w:sz w:val="20"/>
          <w:szCs w:val="20"/>
        </w:rPr>
        <w:t xml:space="preserve"> z dnia 21 sierpnia 1997 r. o gospodarce nieruchomościami</w:t>
      </w:r>
      <w:bookmarkEnd w:id="41"/>
    </w:p>
    <w:p w14:paraId="6F390A38" w14:textId="77777777" w:rsidR="00B93BA5" w:rsidRPr="005C158A" w:rsidRDefault="00B93BA5"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związku z sygnalizowanymi wątpliwościami dotyczącymi terminu, w którym stronie umowy pośrednictwa lub umowy o zarządzenie przysługuje prawo wypowiedzenia takiej umowy w przypadku niewywiązywania się odpowiednio przez pośrednika w obrocie nieruchomościami lub zarządcę nieruchomości z obowiązku przekazania kopii aktualnego dokumentu potwierdzającego ubezpieczenie odpowiedzialności cywilnej, </w:t>
      </w:r>
      <w:r w:rsidRPr="005C158A">
        <w:rPr>
          <w:rFonts w:ascii="Arial" w:hAnsi="Arial" w:cs="Arial"/>
          <w:b/>
          <w:bCs/>
          <w:sz w:val="20"/>
          <w:szCs w:val="20"/>
        </w:rPr>
        <w:t>w art. 181</w:t>
      </w:r>
      <w:r w:rsidRPr="005C158A">
        <w:rPr>
          <w:rFonts w:ascii="Arial" w:hAnsi="Arial" w:cs="Arial"/>
          <w:sz w:val="20"/>
          <w:szCs w:val="20"/>
        </w:rPr>
        <w:t xml:space="preserve"> oraz w </w:t>
      </w:r>
      <w:r w:rsidRPr="005C158A">
        <w:rPr>
          <w:rFonts w:ascii="Arial" w:hAnsi="Arial" w:cs="Arial"/>
          <w:b/>
          <w:bCs/>
          <w:sz w:val="20"/>
          <w:szCs w:val="20"/>
        </w:rPr>
        <w:t>art. 186</w:t>
      </w:r>
      <w:r w:rsidRPr="005C158A">
        <w:rPr>
          <w:rFonts w:ascii="Arial" w:hAnsi="Arial" w:cs="Arial"/>
          <w:sz w:val="20"/>
          <w:szCs w:val="20"/>
        </w:rPr>
        <w:t xml:space="preserve"> ustawy o gospodarce nieruchomościami zaproponowano zmiany mające na celu doprecyzowanie przedmiotowych kwestii.</w:t>
      </w:r>
    </w:p>
    <w:p w14:paraId="7A4A01AC" w14:textId="5680BE76" w:rsidR="00B93BA5" w:rsidRPr="005C158A" w:rsidRDefault="00B93BA5" w:rsidP="00401710">
      <w:pPr>
        <w:spacing w:before="120" w:after="120" w:line="360" w:lineRule="auto"/>
        <w:jc w:val="both"/>
        <w:rPr>
          <w:rFonts w:ascii="Arial" w:hAnsi="Arial" w:cs="Arial"/>
          <w:sz w:val="20"/>
          <w:szCs w:val="20"/>
        </w:rPr>
      </w:pPr>
      <w:r w:rsidRPr="005C158A">
        <w:rPr>
          <w:rFonts w:ascii="Arial" w:hAnsi="Arial" w:cs="Arial"/>
          <w:sz w:val="20"/>
          <w:szCs w:val="20"/>
        </w:rPr>
        <w:t>Zgodnie z obowiązującymi przepisami strona ma prawo wypowiedzenia umowy po uprzednim wezwaniu pośrednika w obrocie nieruchomościami lub zarządcy nieruchomości do przedłożenia kopii dokumentu ubezpieczenia w ciągu 7 dni od dnia otrzymania wezwania. Oznacza to, że strona umowy powinna w terminie 7 dni otrzymać aktualną kopię dokumentu ubezpieczenia, co w znacznej liczbie przypadków może być niewykonalne. O ile powyższy termin jest realny do zachowania w przypadku osobistego wręczenia kopii aktualnego dokumentu ubezpieczenia odpowiedzialności cywilnej stronie umowy przez pośrednika w obrocie nieruchomościami lub zarządcę nieruchomości, bądź wysłania jej w formie elektronicznej, o tyle w przypadku przekazania tego dokumentu za pośrednictwem operatora pocztowego – dochowanie terminu może być problematyczne. Na odebranie przesyłki, która ze względów dowodowych nadawana jest jako polecona, adresat ma 14 dni. Niezwłoczne nieodebranie przesyłki, co jest zależne jedynie od dobrej woli adresata, wysłanej z dołożeniem co najmniej szczególnej staranności natychmiast po otrzymaniu wezwania, może zatem doprowadzić do zaistnienia podstawy do wypowiedzenia przez zamawiającego zawartej umowy pośrednictwa lub umowy o</w:t>
      </w:r>
      <w:r w:rsidR="00295358" w:rsidRPr="005C158A">
        <w:rPr>
          <w:rFonts w:ascii="Arial" w:hAnsi="Arial" w:cs="Arial"/>
          <w:sz w:val="20"/>
          <w:szCs w:val="20"/>
        </w:rPr>
        <w:t> </w:t>
      </w:r>
      <w:r w:rsidRPr="005C158A">
        <w:rPr>
          <w:rFonts w:ascii="Arial" w:hAnsi="Arial" w:cs="Arial"/>
          <w:sz w:val="20"/>
          <w:szCs w:val="20"/>
        </w:rPr>
        <w:t>zarządzanie nieruchomościami w trybie natychmiastowym.</w:t>
      </w:r>
    </w:p>
    <w:p w14:paraId="042F2317" w14:textId="77777777" w:rsidR="00B93BA5" w:rsidRPr="005C158A" w:rsidRDefault="00B93BA5" w:rsidP="00401710">
      <w:pPr>
        <w:spacing w:before="120" w:after="120" w:line="360" w:lineRule="auto"/>
        <w:jc w:val="both"/>
        <w:rPr>
          <w:rFonts w:ascii="Arial" w:hAnsi="Arial" w:cs="Arial"/>
          <w:sz w:val="20"/>
          <w:szCs w:val="20"/>
        </w:rPr>
      </w:pPr>
      <w:r w:rsidRPr="005C158A">
        <w:rPr>
          <w:rFonts w:ascii="Arial" w:hAnsi="Arial" w:cs="Arial"/>
          <w:sz w:val="20"/>
          <w:szCs w:val="20"/>
        </w:rPr>
        <w:t>Mając na uwadze daleko idące konsekwencje dla pośredników w obrocie nieruchomościami oraz zarządców nieruchomości związane z niedotrzymaniem terminu przekazania kopii dokumentu ubezpieczenia, w art. 181 oraz w art. 186 ustawy o gospodarce nieruchomościami doprecyzowano zatem, że w przypadku przedłożenia kopii dokumentu ubezpieczenia za pośrednictwem operatora pocztowego termin na przekazanie tego dokumentu uważa się za zachowany, jeżeli przed jego upływem kopia dokumentu ubezpieczenia zostanie nadana w placówce pocztowej operatora pocztowego.</w:t>
      </w:r>
    </w:p>
    <w:p w14:paraId="1F61E9B9" w14:textId="77777777" w:rsidR="00B93BA5" w:rsidRPr="005C158A" w:rsidRDefault="00B93BA5" w:rsidP="00401710">
      <w:pPr>
        <w:spacing w:before="120" w:after="120" w:line="360" w:lineRule="auto"/>
        <w:jc w:val="both"/>
        <w:rPr>
          <w:rFonts w:ascii="Arial" w:hAnsi="Arial" w:cs="Arial"/>
          <w:sz w:val="20"/>
          <w:szCs w:val="20"/>
        </w:rPr>
      </w:pPr>
      <w:r w:rsidRPr="005C158A">
        <w:rPr>
          <w:rFonts w:ascii="Arial" w:hAnsi="Arial" w:cs="Arial"/>
          <w:sz w:val="20"/>
          <w:szCs w:val="20"/>
        </w:rPr>
        <w:t>Zmiana przyczyni się do urealnienia wypełniania przez pośredników w obrocie nieruchomościami oraz zarządców nieruchomości (przedsiębiorców) ciążącego na nich obowiązku, a tym samym zmniejszy niepewność prowadzenia działalności gospodarczej w zakresie pośrednictwa w obrocie nieruchomościami i zarządzania nieruchomościami.</w:t>
      </w:r>
    </w:p>
    <w:p w14:paraId="01760962" w14:textId="7A2545D1" w:rsidR="001B5A6A" w:rsidRPr="005C158A" w:rsidRDefault="00855C56" w:rsidP="00401710">
      <w:pPr>
        <w:pStyle w:val="Nagwek2"/>
        <w:spacing w:before="120" w:after="120" w:line="360" w:lineRule="auto"/>
        <w:jc w:val="both"/>
        <w:rPr>
          <w:rFonts w:ascii="Arial" w:hAnsi="Arial" w:cs="Arial"/>
          <w:color w:val="auto"/>
          <w:sz w:val="20"/>
          <w:szCs w:val="20"/>
        </w:rPr>
      </w:pPr>
      <w:bookmarkStart w:id="42" w:name="_Toc138329760"/>
      <w:r w:rsidRPr="005C158A">
        <w:rPr>
          <w:rFonts w:ascii="Arial" w:hAnsi="Arial" w:cs="Arial"/>
          <w:color w:val="auto"/>
          <w:sz w:val="20"/>
          <w:szCs w:val="20"/>
        </w:rPr>
        <w:t>Ustawa</w:t>
      </w:r>
      <w:r w:rsidR="001B5A6A" w:rsidRPr="005C158A">
        <w:rPr>
          <w:rFonts w:ascii="Arial" w:hAnsi="Arial" w:cs="Arial"/>
          <w:color w:val="auto"/>
          <w:sz w:val="20"/>
          <w:szCs w:val="20"/>
        </w:rPr>
        <w:t xml:space="preserve"> z dnia 29 sierpnia 1997 r. – Ordynacja podatkowa</w:t>
      </w:r>
      <w:bookmarkEnd w:id="42"/>
      <w:r w:rsidR="001B5A6A" w:rsidRPr="005C158A">
        <w:rPr>
          <w:rFonts w:ascii="Arial" w:hAnsi="Arial" w:cs="Arial"/>
          <w:color w:val="auto"/>
          <w:sz w:val="20"/>
          <w:szCs w:val="20"/>
        </w:rPr>
        <w:t xml:space="preserve"> </w:t>
      </w:r>
    </w:p>
    <w:p w14:paraId="72A5E194" w14:textId="1E3E9588" w:rsidR="003564DC" w:rsidRPr="005C158A" w:rsidRDefault="003564DC" w:rsidP="00DC6DF4">
      <w:pPr>
        <w:pStyle w:val="Akapitzlist"/>
        <w:numPr>
          <w:ilvl w:val="0"/>
          <w:numId w:val="3"/>
        </w:numPr>
        <w:spacing w:before="120" w:after="120" w:line="360" w:lineRule="auto"/>
        <w:ind w:left="0" w:firstLine="0"/>
        <w:jc w:val="both"/>
        <w:rPr>
          <w:rFonts w:ascii="Arial" w:hAnsi="Arial" w:cs="Arial"/>
          <w:sz w:val="20"/>
          <w:szCs w:val="20"/>
        </w:rPr>
      </w:pPr>
      <w:r w:rsidRPr="005C158A">
        <w:rPr>
          <w:rFonts w:ascii="Arial" w:hAnsi="Arial" w:cs="Arial"/>
          <w:sz w:val="20"/>
          <w:szCs w:val="20"/>
        </w:rPr>
        <w:t>Zmiany w art. 97</w:t>
      </w:r>
      <w:r w:rsidR="009A1EDE" w:rsidRPr="005C158A">
        <w:rPr>
          <w:rFonts w:ascii="Arial" w:hAnsi="Arial" w:cs="Arial"/>
          <w:sz w:val="20"/>
          <w:szCs w:val="20"/>
        </w:rPr>
        <w:t xml:space="preserve"> w zakresie z przejęciem praw i obowiązków w prawie podatkowym po zmarłym przedsiębiorcy oraz przedsiębiorstwie w spadku</w:t>
      </w:r>
      <w:r w:rsidR="000307ED" w:rsidRPr="005C158A">
        <w:rPr>
          <w:rFonts w:ascii="Arial" w:hAnsi="Arial" w:cs="Arial"/>
          <w:sz w:val="20"/>
          <w:szCs w:val="20"/>
        </w:rPr>
        <w:t>.</w:t>
      </w:r>
    </w:p>
    <w:p w14:paraId="1B2DEDD9" w14:textId="77777777" w:rsidR="006B582A" w:rsidRPr="005C158A" w:rsidRDefault="003564DC"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Zmiany w </w:t>
      </w:r>
      <w:r w:rsidRPr="005C158A">
        <w:rPr>
          <w:rFonts w:ascii="Arial" w:hAnsi="Arial" w:cs="Arial"/>
          <w:b/>
          <w:bCs/>
          <w:sz w:val="20"/>
          <w:szCs w:val="20"/>
        </w:rPr>
        <w:t>art. 97</w:t>
      </w:r>
      <w:r w:rsidRPr="005C158A">
        <w:rPr>
          <w:rFonts w:ascii="Arial" w:hAnsi="Arial" w:cs="Arial"/>
          <w:sz w:val="20"/>
          <w:szCs w:val="20"/>
        </w:rPr>
        <w:t xml:space="preserve"> </w:t>
      </w:r>
      <w:proofErr w:type="spellStart"/>
      <w:r w:rsidR="000307ED" w:rsidRPr="005C158A">
        <w:rPr>
          <w:rFonts w:ascii="Arial" w:hAnsi="Arial" w:cs="Arial"/>
          <w:sz w:val="20"/>
          <w:szCs w:val="20"/>
        </w:rPr>
        <w:t>Op</w:t>
      </w:r>
      <w:proofErr w:type="spellEnd"/>
      <w:r w:rsidRPr="005C158A">
        <w:rPr>
          <w:rFonts w:ascii="Arial" w:hAnsi="Arial" w:cs="Arial"/>
          <w:sz w:val="20"/>
          <w:szCs w:val="20"/>
        </w:rPr>
        <w:t xml:space="preserve"> mają na celu usunięcie wątpliwości interpretacyjnych związanych z przejęciem praw i obowiązków w prawie podatkowym po zmarłym przedsiębiorcy oraz przedsiębiorstwie w spadku w przypadku, gdy wygaśnie zarząd sukcesyjny albo uprawnienie do powołania zarządcy sukcesyjnego, jeżeli zarząd sukcesyjny nie został ustanowiony</w:t>
      </w:r>
      <w:r w:rsidR="0094700F" w:rsidRPr="005C158A">
        <w:rPr>
          <w:rFonts w:ascii="Arial" w:hAnsi="Arial" w:cs="Arial"/>
          <w:sz w:val="20"/>
          <w:szCs w:val="20"/>
        </w:rPr>
        <w:t>,</w:t>
      </w:r>
      <w:r w:rsidRPr="005C158A">
        <w:rPr>
          <w:rFonts w:ascii="Arial" w:hAnsi="Arial" w:cs="Arial"/>
          <w:sz w:val="20"/>
          <w:szCs w:val="20"/>
        </w:rPr>
        <w:t xml:space="preserve"> a dokonano zgłoszenia, o którym mowa w art. 12 ust. </w:t>
      </w:r>
      <w:r w:rsidRPr="005C158A">
        <w:rPr>
          <w:rFonts w:ascii="Arial" w:hAnsi="Arial" w:cs="Arial"/>
          <w:sz w:val="20"/>
          <w:szCs w:val="20"/>
        </w:rPr>
        <w:lastRenderedPageBreak/>
        <w:t>1c ustawy z dnia 13 października 1995 r. o zasadach ewidencji i identyfikacji podatników i płatników. W</w:t>
      </w:r>
      <w:r w:rsidR="00295358" w:rsidRPr="005C158A">
        <w:rPr>
          <w:rFonts w:ascii="Arial" w:hAnsi="Arial" w:cs="Arial"/>
          <w:sz w:val="20"/>
          <w:szCs w:val="20"/>
        </w:rPr>
        <w:t> </w:t>
      </w:r>
      <w:r w:rsidRPr="005C158A">
        <w:rPr>
          <w:rFonts w:ascii="Arial" w:hAnsi="Arial" w:cs="Arial"/>
          <w:sz w:val="20"/>
          <w:szCs w:val="20"/>
        </w:rPr>
        <w:t xml:space="preserve">okresie uprawniającym do ustanowienia zarządu sukcesyjnego lub po ustanowieniu zarządu sukcesyjnego za podatnika przejmującego prawa i obowiązki zmarłego przedsiębiorcy uważa się przedsiębiorstwo w spadku. Przedsiębiorstwo w spadku jest podatnikiem tymczasowym (podobnie jak instytucja zarządu sukcesyjnego), dlatego po zakończeniu okresu na powołanie zarządcy sukcesyjnego oraz po wygaśnięciu zarządu sukcesyjnego prawa i obowiązki podatkowe muszą być przejmowane zgodnie z ogólną regułą o przejęciu praw i obowiązków przez spadkobierców. W doktrynie wyrażono jednak pogląd, że </w:t>
      </w:r>
      <w:r w:rsidRPr="005C158A">
        <w:rPr>
          <w:rFonts w:ascii="Arial" w:hAnsi="Arial" w:cs="Arial"/>
          <w:i/>
          <w:iCs/>
          <w:sz w:val="20"/>
          <w:szCs w:val="20"/>
        </w:rPr>
        <w:t>„wątpliwe jest (kolejne) przejście ogółu praw i obowiązków tym razem z</w:t>
      </w:r>
      <w:r w:rsidR="00295358" w:rsidRPr="005C158A">
        <w:rPr>
          <w:rFonts w:ascii="Arial" w:hAnsi="Arial" w:cs="Arial"/>
          <w:i/>
          <w:iCs/>
          <w:sz w:val="20"/>
          <w:szCs w:val="20"/>
        </w:rPr>
        <w:t> </w:t>
      </w:r>
      <w:r w:rsidRPr="005C158A">
        <w:rPr>
          <w:rFonts w:ascii="Arial" w:hAnsi="Arial" w:cs="Arial"/>
          <w:i/>
          <w:iCs/>
          <w:sz w:val="20"/>
          <w:szCs w:val="20"/>
        </w:rPr>
        <w:t>przedsiębiorstwa w spadku na spadkobierców, którzy dalej będą kontynuowali działalność gospodarczą po wygaśnięciu zarządu sukcesyjnego. Z chwilą wygaśnięcia zarządu sukcesyjnego następuje likwidacja przedsiębiorstwa, a co za tym idzie – powstają różnorodne obowiązki z tym związane, w tym także związane z likwidacją działalności gospodarczej. Natomiast spadkobierca lub spadkobiercy, którzy chcieliby kontynuować taką działalność gospodarczą, nie nabywają prawa do odliczenia podatku naliczonego, rozliczania kosztów podatkowych itd.”</w:t>
      </w:r>
      <w:r w:rsidRPr="005C158A">
        <w:rPr>
          <w:rFonts w:ascii="Arial" w:hAnsi="Arial" w:cs="Arial"/>
          <w:sz w:val="20"/>
          <w:szCs w:val="20"/>
        </w:rPr>
        <w:t xml:space="preserve"> (komentarz do art. 97 Ordynacji podatkowej A. Mariańskiego [w:] Ordynacja podatkowa. Komentarz pod red. A. Mariańskiego, wyd. 1, 2021, </w:t>
      </w:r>
      <w:proofErr w:type="spellStart"/>
      <w:r w:rsidRPr="005C158A">
        <w:rPr>
          <w:rFonts w:ascii="Arial" w:hAnsi="Arial" w:cs="Arial"/>
          <w:sz w:val="20"/>
          <w:szCs w:val="20"/>
        </w:rPr>
        <w:t>Legalis</w:t>
      </w:r>
      <w:proofErr w:type="spellEnd"/>
      <w:r w:rsidRPr="005C158A">
        <w:rPr>
          <w:rFonts w:ascii="Arial" w:hAnsi="Arial" w:cs="Arial"/>
          <w:sz w:val="20"/>
          <w:szCs w:val="20"/>
        </w:rPr>
        <w:t xml:space="preserve">). Przyjęcie takiego poglądu jest sprzeczne z istotą i celami zarządu sukcesyjnego jako narzędzia ułatwiającego sukcesję przedsiębiorstwa, także na gruncie prawa podatkowego. </w:t>
      </w:r>
    </w:p>
    <w:p w14:paraId="7D4DB8F0" w14:textId="77777777" w:rsidR="006B582A" w:rsidRPr="005C158A" w:rsidRDefault="006B582A" w:rsidP="006B582A">
      <w:pPr>
        <w:pStyle w:val="NIEARTTEKSTtekstnieartykuowanynppodstprawnarozplubpreambua"/>
        <w:rPr>
          <w:rFonts w:ascii="Arial" w:hAnsi="Arial"/>
          <w:sz w:val="20"/>
        </w:rPr>
      </w:pPr>
      <w:r w:rsidRPr="005C158A">
        <w:rPr>
          <w:rFonts w:ascii="Arial" w:hAnsi="Arial"/>
          <w:sz w:val="20"/>
        </w:rPr>
        <w:t xml:space="preserve">Nowelizacja przewiduje zatem wyrażenie wprost w przepisach Ordynacji podatkowej przejścia majątkowych praw i obowiązków oraz niemajątkowych praw związanych z prowadzoną działalnością gospodarczą, którymi dysponował przedsiębiorca, a następnie przedsiębiorstwo w spadku. Po ustaniu bytu przedsiębiorstwa w spadku jako podatnika przechodzą one na osoby, które zgodnie z art. 97a § 1 </w:t>
      </w:r>
      <w:proofErr w:type="spellStart"/>
      <w:r w:rsidRPr="005C158A">
        <w:rPr>
          <w:rFonts w:ascii="Arial" w:hAnsi="Arial"/>
          <w:sz w:val="20"/>
        </w:rPr>
        <w:t>Op</w:t>
      </w:r>
      <w:proofErr w:type="spellEnd"/>
      <w:r w:rsidRPr="005C158A">
        <w:rPr>
          <w:rFonts w:ascii="Arial" w:hAnsi="Arial"/>
          <w:sz w:val="20"/>
        </w:rPr>
        <w:t xml:space="preserve"> ponoszą odpowiedzialność za zobowiązania podatkowe przedsiębiorstwa w spadku, tj. na zapisobiercę windykacyjnego kontynuującego prowadzenie tego przedsiębiorstwa, spadkobiercę zmarłego przedsiębiorcy, jeżeli nie został uczyniony zapis windykacyjny obejmujący przedsiębiorstwo w spadku, a także małżonka zmarłego przedsiębiorcy, któremu przysługuje udział w przedsiębiorstwie w spadku.</w:t>
      </w:r>
    </w:p>
    <w:p w14:paraId="4EF28E2B" w14:textId="499AB711" w:rsidR="006B582A" w:rsidRPr="005C158A" w:rsidRDefault="006B582A" w:rsidP="0011422D">
      <w:pPr>
        <w:pStyle w:val="NIEARTTEKSTtekstnieartykuowanynppodstprawnarozplubpreambua"/>
        <w:rPr>
          <w:rFonts w:ascii="Arial" w:hAnsi="Arial"/>
          <w:sz w:val="20"/>
        </w:rPr>
      </w:pPr>
      <w:r w:rsidRPr="005C158A">
        <w:rPr>
          <w:rFonts w:ascii="Arial" w:hAnsi="Arial"/>
          <w:sz w:val="20"/>
        </w:rPr>
        <w:t xml:space="preserve">Zmiany w art. 97 § 1, 1b i 2a </w:t>
      </w:r>
      <w:proofErr w:type="spellStart"/>
      <w:r w:rsidRPr="005C158A">
        <w:rPr>
          <w:rFonts w:ascii="Arial" w:hAnsi="Arial"/>
          <w:sz w:val="20"/>
        </w:rPr>
        <w:t>Op</w:t>
      </w:r>
      <w:proofErr w:type="spellEnd"/>
      <w:r w:rsidRPr="005C158A">
        <w:rPr>
          <w:rFonts w:ascii="Arial" w:hAnsi="Arial"/>
          <w:sz w:val="20"/>
        </w:rPr>
        <w:t xml:space="preserve"> są zmianami wynikowymi, porządkującymi kwestię sukcesji praw i obowiązków majątkowych (§ 1a-1c) oraz prawa niemajątkowe (§2 i 2a). </w:t>
      </w:r>
    </w:p>
    <w:p w14:paraId="65906CBA" w14:textId="5A3BEDD9" w:rsidR="001B5A6A" w:rsidRPr="005C158A" w:rsidRDefault="00C21DF6" w:rsidP="00DC6DF4">
      <w:pPr>
        <w:pStyle w:val="Akapitzlist"/>
        <w:numPr>
          <w:ilvl w:val="0"/>
          <w:numId w:val="3"/>
        </w:numPr>
        <w:spacing w:before="120" w:after="120" w:line="360" w:lineRule="auto"/>
        <w:ind w:left="0" w:firstLine="0"/>
        <w:jc w:val="both"/>
        <w:rPr>
          <w:rFonts w:ascii="Arial" w:hAnsi="Arial" w:cs="Arial"/>
          <w:sz w:val="20"/>
          <w:szCs w:val="20"/>
        </w:rPr>
      </w:pPr>
      <w:r w:rsidRPr="005C158A">
        <w:rPr>
          <w:rFonts w:ascii="Arial" w:hAnsi="Arial" w:cs="Arial"/>
          <w:sz w:val="20"/>
          <w:szCs w:val="20"/>
        </w:rPr>
        <w:t>Osobiste stawiennictwo</w:t>
      </w:r>
      <w:r w:rsidR="000307ED" w:rsidRPr="005C158A">
        <w:rPr>
          <w:rFonts w:ascii="Arial" w:hAnsi="Arial" w:cs="Arial"/>
          <w:sz w:val="20"/>
          <w:szCs w:val="20"/>
        </w:rPr>
        <w:t>.</w:t>
      </w:r>
    </w:p>
    <w:p w14:paraId="05D31498" w14:textId="0449EC10" w:rsidR="001B5A6A" w:rsidRPr="005C158A" w:rsidRDefault="001B5A6A"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Przepisy </w:t>
      </w:r>
      <w:r w:rsidR="00855C56" w:rsidRPr="005C158A">
        <w:rPr>
          <w:rFonts w:ascii="Arial" w:hAnsi="Arial" w:cs="Arial"/>
          <w:sz w:val="20"/>
          <w:szCs w:val="20"/>
        </w:rPr>
        <w:t>Ordynacji</w:t>
      </w:r>
      <w:r w:rsidRPr="005C158A">
        <w:rPr>
          <w:rFonts w:ascii="Arial" w:hAnsi="Arial" w:cs="Arial"/>
          <w:sz w:val="20"/>
          <w:szCs w:val="20"/>
        </w:rPr>
        <w:t xml:space="preserve"> </w:t>
      </w:r>
      <w:r w:rsidR="00F32DFE" w:rsidRPr="005C158A">
        <w:rPr>
          <w:rFonts w:ascii="Arial" w:hAnsi="Arial" w:cs="Arial"/>
          <w:sz w:val="20"/>
          <w:szCs w:val="20"/>
        </w:rPr>
        <w:t xml:space="preserve">podatkowej </w:t>
      </w:r>
      <w:r w:rsidRPr="005C158A">
        <w:rPr>
          <w:rFonts w:ascii="Arial" w:hAnsi="Arial" w:cs="Arial"/>
          <w:sz w:val="20"/>
          <w:szCs w:val="20"/>
        </w:rPr>
        <w:t xml:space="preserve">zawierają odrębną od </w:t>
      </w:r>
      <w:r w:rsidR="000307ED" w:rsidRPr="005C158A">
        <w:rPr>
          <w:rFonts w:ascii="Arial" w:hAnsi="Arial" w:cs="Arial"/>
          <w:sz w:val="20"/>
          <w:szCs w:val="20"/>
        </w:rPr>
        <w:t>Kpa</w:t>
      </w:r>
      <w:r w:rsidRPr="005C158A">
        <w:rPr>
          <w:rFonts w:ascii="Arial" w:hAnsi="Arial" w:cs="Arial"/>
          <w:sz w:val="20"/>
          <w:szCs w:val="20"/>
        </w:rPr>
        <w:t xml:space="preserve"> regulację dotyczącą szeroko rozumianego uczestnictwa w czynnościach dokonywanych przez organy podatkowe. Organ podatkowy może wezwać stronę lub inne osoby do złożenia wyjaśnień, zeznań, przedłożenia dokumentów lub dokonania określonej czynności osobiście, przez pełnomocnika lub na piśmie, jeżeli jest to niezbędne dla wyjaśnienia stanu faktycznego lub rozstrzygnięcia sprawy. </w:t>
      </w:r>
      <w:r w:rsidR="003564DC" w:rsidRPr="005C158A">
        <w:rPr>
          <w:rFonts w:ascii="Arial" w:hAnsi="Arial" w:cs="Arial"/>
          <w:sz w:val="20"/>
          <w:szCs w:val="20"/>
        </w:rPr>
        <w:t>Z</w:t>
      </w:r>
      <w:r w:rsidRPr="005C158A">
        <w:rPr>
          <w:rFonts w:ascii="Arial" w:hAnsi="Arial" w:cs="Arial"/>
          <w:sz w:val="20"/>
          <w:szCs w:val="20"/>
        </w:rPr>
        <w:t>adośćuczynienie wezwaniu nie powinno być dla danej osoby uciążliwe.</w:t>
      </w:r>
    </w:p>
    <w:p w14:paraId="3DF59121" w14:textId="2544BD7D" w:rsidR="00C1583C" w:rsidRPr="005C158A" w:rsidRDefault="001B5A6A" w:rsidP="00401710">
      <w:pPr>
        <w:spacing w:before="120" w:after="120" w:line="360" w:lineRule="auto"/>
        <w:jc w:val="both"/>
        <w:rPr>
          <w:rFonts w:ascii="Arial" w:hAnsi="Arial" w:cs="Arial"/>
          <w:sz w:val="20"/>
          <w:szCs w:val="20"/>
        </w:rPr>
      </w:pPr>
      <w:r w:rsidRPr="005C158A">
        <w:rPr>
          <w:rFonts w:ascii="Arial" w:hAnsi="Arial" w:cs="Arial"/>
          <w:sz w:val="20"/>
          <w:szCs w:val="20"/>
        </w:rPr>
        <w:t>Podobnie jak w przypadku</w:t>
      </w:r>
      <w:r w:rsidR="000307ED" w:rsidRPr="005C158A">
        <w:rPr>
          <w:rFonts w:ascii="Arial" w:hAnsi="Arial" w:cs="Arial"/>
          <w:sz w:val="20"/>
          <w:szCs w:val="20"/>
        </w:rPr>
        <w:t xml:space="preserve"> Kpa</w:t>
      </w:r>
      <w:r w:rsidRPr="005C158A">
        <w:rPr>
          <w:rFonts w:ascii="Arial" w:hAnsi="Arial" w:cs="Arial"/>
          <w:sz w:val="20"/>
          <w:szCs w:val="20"/>
        </w:rPr>
        <w:t xml:space="preserve">, proponuje się jasne określenie w </w:t>
      </w:r>
      <w:r w:rsidRPr="005C158A">
        <w:rPr>
          <w:rFonts w:ascii="Arial" w:hAnsi="Arial" w:cs="Arial"/>
          <w:b/>
          <w:bCs/>
          <w:sz w:val="20"/>
          <w:szCs w:val="20"/>
        </w:rPr>
        <w:t xml:space="preserve">art. 155 § 1 </w:t>
      </w:r>
      <w:proofErr w:type="spellStart"/>
      <w:r w:rsidR="000307ED" w:rsidRPr="005C158A">
        <w:rPr>
          <w:rFonts w:ascii="Arial" w:hAnsi="Arial" w:cs="Arial"/>
          <w:b/>
          <w:bCs/>
          <w:sz w:val="20"/>
          <w:szCs w:val="20"/>
        </w:rPr>
        <w:t>Op</w:t>
      </w:r>
      <w:proofErr w:type="spellEnd"/>
      <w:r w:rsidR="000307ED" w:rsidRPr="005C158A">
        <w:rPr>
          <w:rFonts w:ascii="Arial" w:hAnsi="Arial" w:cs="Arial"/>
          <w:sz w:val="20"/>
          <w:szCs w:val="20"/>
        </w:rPr>
        <w:t xml:space="preserve"> </w:t>
      </w:r>
      <w:r w:rsidRPr="005C158A">
        <w:rPr>
          <w:rFonts w:ascii="Arial" w:hAnsi="Arial" w:cs="Arial"/>
          <w:sz w:val="20"/>
          <w:szCs w:val="20"/>
        </w:rPr>
        <w:t xml:space="preserve">hierarchii preferowanych form udziału w tych czynnościach. Zgodnie z proponowaną zmianą, organy powinny wzywać strony lub inne osoby do dokonania określonych w przepisie czynności na piśmie, a tylko w uzasadnionych przypadkach – osobiście lub przez pełnomocnika. Elementem, który powinien </w:t>
      </w:r>
      <w:r w:rsidRPr="005C158A">
        <w:rPr>
          <w:rFonts w:ascii="Arial" w:hAnsi="Arial" w:cs="Arial"/>
          <w:sz w:val="20"/>
          <w:szCs w:val="20"/>
        </w:rPr>
        <w:lastRenderedPageBreak/>
        <w:t xml:space="preserve">pośrednio wpłynąć na praktykę urzędów w tym zakresie, jest zmiana </w:t>
      </w:r>
      <w:r w:rsidRPr="005C158A">
        <w:rPr>
          <w:rFonts w:ascii="Arial" w:hAnsi="Arial" w:cs="Arial"/>
          <w:b/>
          <w:bCs/>
          <w:sz w:val="20"/>
          <w:szCs w:val="20"/>
        </w:rPr>
        <w:t>art. 159 § 1c</w:t>
      </w:r>
      <w:r w:rsidRPr="005C158A">
        <w:rPr>
          <w:rFonts w:ascii="Arial" w:hAnsi="Arial" w:cs="Arial"/>
          <w:sz w:val="20"/>
          <w:szCs w:val="20"/>
        </w:rPr>
        <w:t xml:space="preserve"> </w:t>
      </w:r>
      <w:proofErr w:type="spellStart"/>
      <w:r w:rsidR="00C21DF6" w:rsidRPr="005C158A">
        <w:rPr>
          <w:rFonts w:ascii="Arial" w:hAnsi="Arial" w:cs="Arial"/>
          <w:b/>
          <w:bCs/>
          <w:sz w:val="20"/>
          <w:szCs w:val="20"/>
        </w:rPr>
        <w:t>Op</w:t>
      </w:r>
      <w:proofErr w:type="spellEnd"/>
      <w:r w:rsidRPr="005C158A">
        <w:rPr>
          <w:rFonts w:ascii="Arial" w:hAnsi="Arial" w:cs="Arial"/>
          <w:sz w:val="20"/>
          <w:szCs w:val="20"/>
        </w:rPr>
        <w:t>, polegająca na dodaniu konieczności uzasadnienia przez organ, dlaczego wymagany jest udział osobisty lub przez pełnomocnika, a czynność nie może być dokonana na piśmie.</w:t>
      </w:r>
      <w:bookmarkStart w:id="43" w:name="mip60054520"/>
      <w:bookmarkStart w:id="44" w:name="mip60054521"/>
      <w:bookmarkEnd w:id="43"/>
      <w:bookmarkEnd w:id="44"/>
    </w:p>
    <w:p w14:paraId="05D413A1" w14:textId="3B844E19" w:rsidR="00DB097A" w:rsidRPr="005C158A" w:rsidRDefault="00DB097A" w:rsidP="00DC6DF4">
      <w:pPr>
        <w:pStyle w:val="Akapitzlist"/>
        <w:numPr>
          <w:ilvl w:val="0"/>
          <w:numId w:val="3"/>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Umarzanie zawieszonych postępowań. </w:t>
      </w:r>
    </w:p>
    <w:p w14:paraId="3401CB60" w14:textId="29EDA925" w:rsidR="00DB097A" w:rsidRPr="005C158A" w:rsidRDefault="00DB097A" w:rsidP="00DB097A">
      <w:pPr>
        <w:spacing w:before="120" w:after="120" w:line="360" w:lineRule="auto"/>
        <w:jc w:val="both"/>
        <w:rPr>
          <w:rFonts w:ascii="Arial" w:hAnsi="Arial" w:cs="Arial"/>
          <w:sz w:val="20"/>
          <w:szCs w:val="20"/>
        </w:rPr>
      </w:pPr>
      <w:r w:rsidRPr="005C158A">
        <w:rPr>
          <w:rFonts w:ascii="Arial" w:hAnsi="Arial" w:cs="Arial"/>
          <w:sz w:val="20"/>
          <w:szCs w:val="20"/>
        </w:rPr>
        <w:t xml:space="preserve">W art. 201 § 5 </w:t>
      </w:r>
      <w:proofErr w:type="spellStart"/>
      <w:r w:rsidR="00714B07" w:rsidRPr="005C158A">
        <w:rPr>
          <w:rFonts w:ascii="Arial" w:hAnsi="Arial" w:cs="Arial"/>
          <w:sz w:val="20"/>
          <w:szCs w:val="20"/>
        </w:rPr>
        <w:t>Op</w:t>
      </w:r>
      <w:proofErr w:type="spellEnd"/>
      <w:r w:rsidRPr="005C158A">
        <w:rPr>
          <w:rFonts w:ascii="Arial" w:hAnsi="Arial" w:cs="Arial"/>
          <w:sz w:val="20"/>
          <w:szCs w:val="20"/>
        </w:rPr>
        <w:t xml:space="preserve"> proponuje się regulację umożliwiającą umorzenie postępowania wszczętego na wniosek, zawieszonego z przyczyn określonych w § 1 pkt 1</w:t>
      </w:r>
      <w:r w:rsidR="00714B07" w:rsidRPr="005C158A">
        <w:rPr>
          <w:rFonts w:ascii="Arial" w:hAnsi="Arial" w:cs="Arial"/>
          <w:sz w:val="20"/>
          <w:szCs w:val="20"/>
        </w:rPr>
        <w:t>–</w:t>
      </w:r>
      <w:r w:rsidRPr="005C158A">
        <w:rPr>
          <w:rFonts w:ascii="Arial" w:hAnsi="Arial" w:cs="Arial"/>
          <w:sz w:val="20"/>
          <w:szCs w:val="20"/>
        </w:rPr>
        <w:t xml:space="preserve">4. Jest to regulacja analogiczna do projektowanych art. 97 § 4 i 5 </w:t>
      </w:r>
      <w:r w:rsidR="00714B07" w:rsidRPr="005C158A">
        <w:rPr>
          <w:rFonts w:ascii="Arial" w:hAnsi="Arial" w:cs="Arial"/>
          <w:sz w:val="20"/>
          <w:szCs w:val="20"/>
        </w:rPr>
        <w:t>Kpa</w:t>
      </w:r>
      <w:r w:rsidRPr="005C158A">
        <w:rPr>
          <w:rFonts w:ascii="Arial" w:hAnsi="Arial" w:cs="Arial"/>
          <w:sz w:val="20"/>
          <w:szCs w:val="20"/>
        </w:rPr>
        <w:t xml:space="preserve">, dostosowana do specyfiki spraw podatkowych. Bardzo szerokie spektrum i różnorodność spraw podatkowych, które mogą być wszczęte na wniosek, uzasadnia przyjęcie fakultatywnego charakteru instytucji umorzenia postępowania podatkowego wszczętego na wniosek.  </w:t>
      </w:r>
    </w:p>
    <w:p w14:paraId="43E3EB14" w14:textId="77777777" w:rsidR="00DB097A" w:rsidRPr="005C158A" w:rsidRDefault="00DB097A" w:rsidP="00DB097A">
      <w:pPr>
        <w:spacing w:before="120" w:after="120" w:line="360" w:lineRule="auto"/>
        <w:jc w:val="both"/>
        <w:rPr>
          <w:rFonts w:ascii="Arial" w:hAnsi="Arial" w:cs="Arial"/>
          <w:sz w:val="20"/>
          <w:szCs w:val="20"/>
        </w:rPr>
      </w:pPr>
      <w:r w:rsidRPr="005C158A">
        <w:rPr>
          <w:rFonts w:ascii="Arial" w:hAnsi="Arial" w:cs="Arial"/>
          <w:sz w:val="20"/>
          <w:szCs w:val="20"/>
        </w:rPr>
        <w:t xml:space="preserve">W art. 201 § 6 Ordynacji podatkowej proponuje się, aby w postanowieniu o zawieszeniu postępowania z przyczyn określonych w art. 201 § 1 pkt 1–4 organ podatkowy pouczał stronę o treści art. 201 § 5. Podobne rozwiązanie obowiązuje na gruncie art. 204 § 3 Ordynacji podatkowej. </w:t>
      </w:r>
    </w:p>
    <w:p w14:paraId="000F9075" w14:textId="219BA6F2" w:rsidR="00DB097A" w:rsidRPr="005C158A" w:rsidRDefault="00DB097A" w:rsidP="00401710">
      <w:pPr>
        <w:spacing w:before="120" w:after="120" w:line="360" w:lineRule="auto"/>
        <w:jc w:val="both"/>
        <w:rPr>
          <w:rFonts w:ascii="Arial" w:hAnsi="Arial" w:cs="Arial"/>
          <w:sz w:val="20"/>
          <w:szCs w:val="20"/>
        </w:rPr>
      </w:pPr>
      <w:r w:rsidRPr="005C158A">
        <w:rPr>
          <w:rFonts w:ascii="Arial" w:hAnsi="Arial" w:cs="Arial"/>
          <w:sz w:val="20"/>
          <w:szCs w:val="20"/>
        </w:rPr>
        <w:t>Zmiana w art. 81b § 2a Ordynacji podatkowej ma charakter dostosowawczy i polega na uzupełnieniu treści zdania pierwszego o przypadek, o którym mowa w art. 201 § 5.</w:t>
      </w:r>
    </w:p>
    <w:p w14:paraId="4C197635" w14:textId="714EA22D" w:rsidR="000F6563" w:rsidRPr="005C158A" w:rsidRDefault="00855C56" w:rsidP="00401710">
      <w:pPr>
        <w:pStyle w:val="Nagwek2"/>
        <w:spacing w:before="120" w:after="120" w:line="360" w:lineRule="auto"/>
        <w:jc w:val="both"/>
        <w:rPr>
          <w:rFonts w:ascii="Arial" w:hAnsi="Arial" w:cs="Arial"/>
          <w:color w:val="auto"/>
          <w:sz w:val="20"/>
          <w:szCs w:val="20"/>
        </w:rPr>
      </w:pPr>
      <w:bookmarkStart w:id="45" w:name="_Toc138329761"/>
      <w:r w:rsidRPr="005C158A">
        <w:rPr>
          <w:rFonts w:ascii="Arial" w:hAnsi="Arial" w:cs="Arial"/>
          <w:color w:val="auto"/>
          <w:sz w:val="20"/>
          <w:szCs w:val="20"/>
        </w:rPr>
        <w:t>Ustawa</w:t>
      </w:r>
      <w:r w:rsidR="000F6563" w:rsidRPr="005C158A">
        <w:rPr>
          <w:rFonts w:ascii="Arial" w:hAnsi="Arial" w:cs="Arial"/>
          <w:color w:val="auto"/>
          <w:sz w:val="20"/>
          <w:szCs w:val="20"/>
        </w:rPr>
        <w:t xml:space="preserve"> z dnia 29 sierpnia 1997 r. – Prawo bankowe</w:t>
      </w:r>
      <w:bookmarkEnd w:id="45"/>
    </w:p>
    <w:p w14:paraId="5684083C" w14:textId="23AF08D7" w:rsidR="000D79BB" w:rsidRPr="005C158A" w:rsidRDefault="000D79BB" w:rsidP="000D79BB">
      <w:pPr>
        <w:spacing w:before="120" w:after="120" w:line="360" w:lineRule="auto"/>
        <w:jc w:val="both"/>
        <w:rPr>
          <w:rFonts w:ascii="Arial" w:hAnsi="Arial" w:cs="Arial"/>
          <w:sz w:val="20"/>
          <w:szCs w:val="20"/>
        </w:rPr>
      </w:pPr>
      <w:r w:rsidRPr="005C158A">
        <w:rPr>
          <w:rFonts w:ascii="Arial" w:hAnsi="Arial" w:cs="Arial"/>
          <w:sz w:val="20"/>
          <w:szCs w:val="20"/>
        </w:rPr>
        <w:t>1)</w:t>
      </w:r>
      <w:r w:rsidRPr="005C158A">
        <w:rPr>
          <w:rFonts w:ascii="Arial" w:hAnsi="Arial" w:cs="Arial"/>
          <w:sz w:val="20"/>
          <w:szCs w:val="20"/>
        </w:rPr>
        <w:tab/>
        <w:t>Prowadzenie rachunku wspólnego dla kilku funduszy inwestycyjnych.</w:t>
      </w:r>
    </w:p>
    <w:p w14:paraId="40C958BC" w14:textId="4CC33C33" w:rsidR="000D79BB" w:rsidRPr="005C158A" w:rsidRDefault="000D79BB" w:rsidP="000D79BB">
      <w:pPr>
        <w:spacing w:before="120" w:after="120" w:line="360" w:lineRule="auto"/>
        <w:jc w:val="both"/>
        <w:rPr>
          <w:rFonts w:ascii="Arial" w:hAnsi="Arial" w:cs="Arial"/>
          <w:sz w:val="20"/>
          <w:szCs w:val="20"/>
        </w:rPr>
      </w:pPr>
      <w:r w:rsidRPr="005C158A">
        <w:rPr>
          <w:rFonts w:ascii="Arial" w:hAnsi="Arial" w:cs="Arial"/>
          <w:sz w:val="20"/>
          <w:szCs w:val="20"/>
        </w:rPr>
        <w:t>Możliwość prowadzenia rachunku wspólnego dla kilku funduszy inwestycyjnych jest niezbędna w przypadku oferowania przez TFI produktów oszczędnościowych, w tym produktów emerytalnych, w ramach Pracowniczych Programów Emerytalnych (</w:t>
      </w:r>
      <w:r w:rsidR="009A1EDE" w:rsidRPr="005C158A">
        <w:rPr>
          <w:rFonts w:ascii="Arial" w:hAnsi="Arial" w:cs="Arial"/>
          <w:sz w:val="20"/>
          <w:szCs w:val="20"/>
        </w:rPr>
        <w:t>u</w:t>
      </w:r>
      <w:r w:rsidRPr="005C158A">
        <w:rPr>
          <w:rFonts w:ascii="Arial" w:hAnsi="Arial" w:cs="Arial"/>
          <w:sz w:val="20"/>
          <w:szCs w:val="20"/>
        </w:rPr>
        <w:t>stawa z dnia 20 kwietnia 2004 r. o pracowniczych programach emerytalnych oraz w ramach pozaustawowych programów oszczędnościowych opartych na ofercie produktowej TFI. Programy tego typu są dodatkowymi programami wynagradzania pracowników przez pracodawcę (klienta TFI), a więc muszą być atrakcyjne, posiadać szeroką gamę funduszy, powinny wymagać minimum obsługi ze strony pracodawcy, a także spełniać wymogi bezpieczeństwa wpłacanych środków. Wpłaty pracodawcy powinny odbywać się na jeden rachunek bankowy, należący do funduszy inwestycyjnych, a nie na rachunek TFI.</w:t>
      </w:r>
    </w:p>
    <w:p w14:paraId="075DFF43" w14:textId="77777777" w:rsidR="000D79BB" w:rsidRPr="005C158A" w:rsidRDefault="000D79BB" w:rsidP="000D79BB">
      <w:pPr>
        <w:spacing w:before="120" w:after="120" w:line="360" w:lineRule="auto"/>
        <w:jc w:val="both"/>
        <w:rPr>
          <w:rFonts w:ascii="Arial" w:hAnsi="Arial" w:cs="Arial"/>
          <w:sz w:val="20"/>
          <w:szCs w:val="20"/>
        </w:rPr>
      </w:pPr>
      <w:r w:rsidRPr="005C158A">
        <w:rPr>
          <w:rFonts w:ascii="Arial" w:hAnsi="Arial" w:cs="Arial"/>
          <w:sz w:val="20"/>
          <w:szCs w:val="20"/>
        </w:rPr>
        <w:t>Nie bez znaczenia jest też fakt, że prowadzenie wspólnego rachunku dla funduszy inwestycyjnych będzie również niezbędne w przypadku oferowania przez TFI programów/produktów oszczędnościowych w ramach ogólnoeuropejskiego indywidualnego produktu emerytalnego.</w:t>
      </w:r>
    </w:p>
    <w:p w14:paraId="3C167473" w14:textId="77777777" w:rsidR="000D79BB" w:rsidRPr="005C158A" w:rsidRDefault="000D79BB" w:rsidP="000D79BB">
      <w:pPr>
        <w:spacing w:before="120" w:after="120" w:line="360" w:lineRule="auto"/>
        <w:jc w:val="both"/>
        <w:rPr>
          <w:rFonts w:ascii="Arial" w:hAnsi="Arial" w:cs="Arial"/>
          <w:sz w:val="20"/>
          <w:szCs w:val="20"/>
        </w:rPr>
      </w:pPr>
      <w:r w:rsidRPr="005C158A">
        <w:rPr>
          <w:rFonts w:ascii="Arial" w:hAnsi="Arial" w:cs="Arial"/>
          <w:sz w:val="20"/>
          <w:szCs w:val="20"/>
        </w:rPr>
        <w:t>Możliwość wpłaty środków przez pracodawców na wspólny rachunek funduszy inwestycyjnych (w ramach tego samego TFI) zapewni bezpieczeństwo wpłacanych środków ‒ wpłaty bezpośrednio na rachunek funduszu oraz aktywa funduszy inwestycyjnych nie wchodzą do masy upadłości towarzystwa ani depozytariusza oraz nie mogą być objęte postępowaniem restrukturyzacyjnym.</w:t>
      </w:r>
    </w:p>
    <w:p w14:paraId="447E21B7" w14:textId="77777777" w:rsidR="000D79BB" w:rsidRPr="005C158A" w:rsidRDefault="000D79BB" w:rsidP="000D79BB">
      <w:pPr>
        <w:spacing w:before="120" w:after="120" w:line="360" w:lineRule="auto"/>
        <w:jc w:val="both"/>
        <w:rPr>
          <w:rFonts w:ascii="Arial" w:hAnsi="Arial" w:cs="Arial"/>
          <w:sz w:val="20"/>
          <w:szCs w:val="20"/>
        </w:rPr>
      </w:pPr>
      <w:r w:rsidRPr="005C158A">
        <w:rPr>
          <w:rFonts w:ascii="Arial" w:hAnsi="Arial" w:cs="Arial"/>
          <w:sz w:val="20"/>
          <w:szCs w:val="20"/>
        </w:rPr>
        <w:t xml:space="preserve">Możliwość prowadzenia rachunku wspólnego powinna obejmować fundusze inwestycyjne oferujące nie tylko ustawowe programy emerytalne (PPK, PPE, IKE, IKZE, OIPE) ale również pozaustawowe programy oszczędnościowe. Towarzystwa funduszy inwestycyjnych oferują szereg pozaustawowych pracowniczych programów oszczędnościowych (kierowanych do pracowników danego pracodawcy lub </w:t>
      </w:r>
      <w:r w:rsidRPr="005C158A">
        <w:rPr>
          <w:rFonts w:ascii="Arial" w:hAnsi="Arial" w:cs="Arial"/>
          <w:sz w:val="20"/>
          <w:szCs w:val="20"/>
        </w:rPr>
        <w:lastRenderedPageBreak/>
        <w:t>ich grup) lub wyspecjalizowanych programów inwestycyjnych (mających charakter planów systematycznego oszczędzania bez względu na cel  – emerytalny lub oszczędnościowy). Programy te mogą być oparte o ofertę kilku funduszy inwestycyjnych typu FIO i SFIO.</w:t>
      </w:r>
    </w:p>
    <w:p w14:paraId="35E03D53" w14:textId="3C798296" w:rsidR="000D79BB" w:rsidRPr="005C158A" w:rsidRDefault="000D79BB" w:rsidP="000D79BB">
      <w:pPr>
        <w:spacing w:before="120" w:after="120" w:line="360" w:lineRule="auto"/>
        <w:jc w:val="both"/>
        <w:rPr>
          <w:rFonts w:ascii="Arial" w:hAnsi="Arial" w:cs="Arial"/>
          <w:sz w:val="20"/>
          <w:szCs w:val="20"/>
        </w:rPr>
      </w:pPr>
      <w:r w:rsidRPr="005C158A">
        <w:rPr>
          <w:rFonts w:ascii="Arial" w:hAnsi="Arial" w:cs="Arial"/>
          <w:sz w:val="20"/>
          <w:szCs w:val="20"/>
        </w:rPr>
        <w:t>Postulat ten wynika z chęci zapewnienia podmiotom finansującym wpłaty do ww. programów (</w:t>
      </w:r>
      <w:hyperlink r:id="rId11" w:history="1">
        <w:r w:rsidRPr="005C158A">
          <w:rPr>
            <w:rFonts w:ascii="Arial" w:hAnsi="Arial" w:cs="Arial"/>
            <w:sz w:val="20"/>
            <w:szCs w:val="20"/>
          </w:rPr>
          <w:t>m.in</w:t>
        </w:r>
      </w:hyperlink>
      <w:r w:rsidRPr="005C158A">
        <w:rPr>
          <w:rFonts w:ascii="Arial" w:hAnsi="Arial" w:cs="Arial"/>
          <w:sz w:val="20"/>
          <w:szCs w:val="20"/>
        </w:rPr>
        <w:t>. pracodawcy dla swoich pracowników lub też indywidualne osoby fizyczne), minimum obciążeń o charakterze technicznym, które związane są z dokonywaniem wpłat do tych programów. W przypadku odrębnie prowadzonych rachunków bankowych dla każdego funduszu, wpłacający (pracodawca) zobowiązany jest dokonywać odrębnych wpłat na te rachunki. Pracodawca nie ma wiedzy w jakie fundusze planuje inwestować jego pracownik, stąd pracodawca nie jest w stanie odpowiednio alokować środków na program oszczędnościowy. W przypadku zaś rachunków wspólnych funduszy inwestycyjnych, wpłacający dokonywałby jednej wpłaty, a TFI (lub agent transferowy) działające na zlecenie funduszy, rozdzielaliby wpłaty na poszczególne fundusze. Agenci transferowi mają możliwości operacyjne i techniczne przypisywania własności wpłacanych środków do poszczególnych funduszy, zgodnie z alokacją wskazaną przez klienta oraz zapewnienie odpowiedniego raportowania do TFI i depozytariusza. Czynności te dokonywane przez agentów transferowych niosą ze sobą niższe ryzyko błędów, co należy uznać za pozytywne z perspektywy klientów funduszy (uczestników programów/produktów oferowanych przez fundusze/TFI).</w:t>
      </w:r>
    </w:p>
    <w:p w14:paraId="431E1D81" w14:textId="5C703089" w:rsidR="000D79BB" w:rsidRPr="005C158A" w:rsidRDefault="000D79BB" w:rsidP="000D79BB">
      <w:pPr>
        <w:spacing w:before="120" w:after="120" w:line="360" w:lineRule="auto"/>
        <w:jc w:val="both"/>
        <w:rPr>
          <w:rFonts w:ascii="Arial" w:hAnsi="Arial" w:cs="Arial"/>
          <w:sz w:val="20"/>
          <w:szCs w:val="20"/>
        </w:rPr>
      </w:pPr>
      <w:r w:rsidRPr="005C158A">
        <w:rPr>
          <w:rFonts w:ascii="Arial" w:hAnsi="Arial" w:cs="Arial"/>
          <w:sz w:val="20"/>
          <w:szCs w:val="20"/>
        </w:rPr>
        <w:t>Proponowana zmiana uprości dokonywanie wpłat przez pracodawców – klientów TFI. Zlikwiduje bowiem konieczność wskazywania dwóch lub więcej rachunków do osobnych wpłat na każdy fundusz, a w konsekwencji nie będzie wymagane stosowanie odpowiednich systemów informatycznych i dodatkowe angażowanie działów księgowości pracodawców.</w:t>
      </w:r>
    </w:p>
    <w:p w14:paraId="36E7B66D" w14:textId="07198F14" w:rsidR="000D79BB" w:rsidRPr="005C158A" w:rsidRDefault="000D79BB" w:rsidP="00DC6DF4">
      <w:pPr>
        <w:pStyle w:val="Akapitzlist"/>
        <w:numPr>
          <w:ilvl w:val="0"/>
          <w:numId w:val="23"/>
        </w:numPr>
        <w:spacing w:before="120" w:after="120" w:line="360" w:lineRule="auto"/>
        <w:ind w:left="0" w:firstLine="0"/>
        <w:jc w:val="both"/>
        <w:rPr>
          <w:rFonts w:ascii="Arial" w:hAnsi="Arial" w:cs="Arial"/>
          <w:sz w:val="20"/>
          <w:szCs w:val="20"/>
        </w:rPr>
      </w:pPr>
      <w:r w:rsidRPr="005C158A">
        <w:rPr>
          <w:rFonts w:ascii="Arial" w:hAnsi="Arial" w:cs="Arial"/>
          <w:sz w:val="20"/>
          <w:szCs w:val="20"/>
        </w:rPr>
        <w:t>Prowadzenie rachunków bankowych zmarłego przedsiębiorcy.</w:t>
      </w:r>
    </w:p>
    <w:p w14:paraId="07D8A5BA" w14:textId="627ED614" w:rsidR="000F6563" w:rsidRPr="005C158A" w:rsidRDefault="000F6563" w:rsidP="000D79BB">
      <w:pPr>
        <w:pStyle w:val="Akapitzlist"/>
        <w:spacing w:before="120" w:after="120" w:line="360" w:lineRule="auto"/>
        <w:ind w:left="0"/>
        <w:jc w:val="both"/>
        <w:rPr>
          <w:rFonts w:ascii="Arial" w:hAnsi="Arial" w:cs="Arial"/>
          <w:sz w:val="20"/>
          <w:szCs w:val="20"/>
        </w:rPr>
      </w:pPr>
      <w:r w:rsidRPr="005C158A">
        <w:rPr>
          <w:rFonts w:ascii="Arial" w:hAnsi="Arial" w:cs="Arial"/>
          <w:sz w:val="20"/>
          <w:szCs w:val="20"/>
        </w:rPr>
        <w:t xml:space="preserve">W związku z pojawiającymi się wątpliwościami w przypadku obsługi zarządców sukcesyjnych przez niektóre banki, proponuje się doprecyzowanie przepisu </w:t>
      </w:r>
      <w:r w:rsidRPr="005C158A">
        <w:rPr>
          <w:rFonts w:ascii="Arial" w:hAnsi="Arial" w:cs="Arial"/>
          <w:b/>
          <w:bCs/>
          <w:sz w:val="20"/>
          <w:szCs w:val="20"/>
        </w:rPr>
        <w:t>art. 59c ust. 1</w:t>
      </w:r>
      <w:r w:rsidRPr="005C158A">
        <w:rPr>
          <w:rFonts w:ascii="Arial" w:hAnsi="Arial" w:cs="Arial"/>
          <w:sz w:val="20"/>
          <w:szCs w:val="20"/>
        </w:rPr>
        <w:t xml:space="preserve"> ustawy – Prawo bankowe, poprzez wskazanie, że rachunek bankowy zmarłego przedsiębiorcy jest prowadzony na dotychczasowych zasadach. W praktyce będzie to oznaczać, że jeżeli przedsiębiorca korzystał przykładowo z bankowości elektronicznej, zarządca sukcesyjny może mieć do niej dostęp w takim samym zakresie.</w:t>
      </w:r>
    </w:p>
    <w:p w14:paraId="09745D70" w14:textId="5BFCFD39" w:rsidR="000F6563" w:rsidRPr="005C158A" w:rsidRDefault="000F6563" w:rsidP="000D79BB">
      <w:pPr>
        <w:spacing w:before="120" w:after="120" w:line="360" w:lineRule="auto"/>
        <w:jc w:val="both"/>
        <w:rPr>
          <w:rFonts w:ascii="Arial" w:hAnsi="Arial" w:cs="Arial"/>
          <w:sz w:val="20"/>
          <w:szCs w:val="20"/>
        </w:rPr>
      </w:pPr>
      <w:r w:rsidRPr="005C158A">
        <w:rPr>
          <w:rFonts w:ascii="Arial" w:hAnsi="Arial" w:cs="Arial"/>
          <w:sz w:val="20"/>
          <w:szCs w:val="20"/>
        </w:rPr>
        <w:t>Ponadto proponuje się przyznać dostęp do rachunku bankowego również osobom wykonującym czynności zachowawcze w okresie, w którym po śmierci przedsiębiorcy nie został jeszcze powołany zarządca sukcesyjny. Pozwoli to spadkobiercom regulować bieżące zobowiązania związane z</w:t>
      </w:r>
      <w:r w:rsidR="00295358" w:rsidRPr="005C158A">
        <w:rPr>
          <w:rFonts w:ascii="Arial" w:hAnsi="Arial" w:cs="Arial"/>
          <w:sz w:val="20"/>
          <w:szCs w:val="20"/>
        </w:rPr>
        <w:t> </w:t>
      </w:r>
      <w:r w:rsidRPr="005C158A">
        <w:rPr>
          <w:rFonts w:ascii="Arial" w:hAnsi="Arial" w:cs="Arial"/>
          <w:sz w:val="20"/>
          <w:szCs w:val="20"/>
        </w:rPr>
        <w:t>przedsiębiorstwem w spadku .</w:t>
      </w:r>
    </w:p>
    <w:p w14:paraId="0663D2B0" w14:textId="77777777" w:rsidR="00247120" w:rsidRPr="005C158A" w:rsidRDefault="00247120" w:rsidP="00247120">
      <w:pPr>
        <w:spacing w:before="120" w:after="120" w:line="360" w:lineRule="auto"/>
        <w:jc w:val="both"/>
        <w:rPr>
          <w:rFonts w:ascii="Arial" w:hAnsi="Arial" w:cs="Arial"/>
          <w:sz w:val="20"/>
          <w:szCs w:val="20"/>
        </w:rPr>
      </w:pPr>
      <w:r w:rsidRPr="005C158A">
        <w:rPr>
          <w:rFonts w:ascii="Arial" w:hAnsi="Arial" w:cs="Arial"/>
          <w:sz w:val="20"/>
          <w:szCs w:val="20"/>
        </w:rPr>
        <w:t>W tym przypadku konieczne będzie przedłożenie bankowi oświadczenia wskazującego, że dana osoba jest osobą uprawnioną do wykonywania czynności zachowawczych, a także dokumentu potwierdzającego przyjęcie spadku obejmującego przedsiębiorstwo w spadku.</w:t>
      </w:r>
    </w:p>
    <w:p w14:paraId="4CCF4512" w14:textId="77777777" w:rsidR="00247120" w:rsidRPr="005C158A" w:rsidRDefault="00247120" w:rsidP="000D79BB">
      <w:pPr>
        <w:spacing w:before="120" w:after="120" w:line="360" w:lineRule="auto"/>
        <w:jc w:val="both"/>
        <w:rPr>
          <w:rFonts w:ascii="Arial" w:hAnsi="Arial" w:cs="Arial"/>
          <w:sz w:val="20"/>
          <w:szCs w:val="20"/>
        </w:rPr>
      </w:pPr>
    </w:p>
    <w:p w14:paraId="050FDF58" w14:textId="389F5198" w:rsidR="000D79BB" w:rsidRPr="005C158A" w:rsidRDefault="000D79BB" w:rsidP="00DC6DF4">
      <w:pPr>
        <w:pStyle w:val="Akapitzlist"/>
        <w:numPr>
          <w:ilvl w:val="0"/>
          <w:numId w:val="23"/>
        </w:numPr>
        <w:spacing w:before="120" w:after="120" w:line="360" w:lineRule="auto"/>
        <w:ind w:left="0" w:firstLine="0"/>
        <w:jc w:val="both"/>
        <w:rPr>
          <w:rFonts w:ascii="Arial" w:hAnsi="Arial" w:cs="Arial"/>
          <w:sz w:val="20"/>
          <w:szCs w:val="20"/>
        </w:rPr>
      </w:pPr>
      <w:r w:rsidRPr="005C158A">
        <w:rPr>
          <w:rFonts w:ascii="Arial" w:hAnsi="Arial" w:cs="Arial"/>
          <w:sz w:val="20"/>
          <w:szCs w:val="20"/>
        </w:rPr>
        <w:t>Wymiana informacji firm leasingowych i faktoringowych.</w:t>
      </w:r>
    </w:p>
    <w:p w14:paraId="0613CC17" w14:textId="0E5E2A34" w:rsidR="0008334A" w:rsidRPr="005C158A" w:rsidRDefault="000D79BB" w:rsidP="0008334A">
      <w:pPr>
        <w:spacing w:before="120" w:after="120" w:line="360" w:lineRule="auto"/>
        <w:jc w:val="both"/>
        <w:rPr>
          <w:rFonts w:ascii="Arial" w:hAnsi="Arial" w:cs="Arial"/>
          <w:sz w:val="20"/>
          <w:szCs w:val="20"/>
        </w:rPr>
      </w:pPr>
      <w:r w:rsidRPr="005C158A">
        <w:rPr>
          <w:rFonts w:ascii="Arial" w:hAnsi="Arial" w:cs="Arial"/>
          <w:sz w:val="20"/>
          <w:szCs w:val="20"/>
        </w:rPr>
        <w:lastRenderedPageBreak/>
        <w:t>P</w:t>
      </w:r>
      <w:r w:rsidR="0008334A" w:rsidRPr="005C158A">
        <w:rPr>
          <w:rFonts w:ascii="Arial" w:hAnsi="Arial" w:cs="Arial"/>
          <w:sz w:val="20"/>
          <w:szCs w:val="20"/>
        </w:rPr>
        <w:t xml:space="preserve">roponuje się zmianę w zakresie art. 105 Prawa bankowego. Zmiana stanowi naturalne „domknięcie” systemu wymiany informacji w sektorze finansowym, mającym na celu przede wszystkim rzetelną ocenę możliwości finansowych/kredytowych klientów (w szczególności konsumentów i </w:t>
      </w:r>
      <w:proofErr w:type="spellStart"/>
      <w:r w:rsidR="0008334A" w:rsidRPr="005C158A">
        <w:rPr>
          <w:rFonts w:ascii="Arial" w:hAnsi="Arial" w:cs="Arial"/>
          <w:sz w:val="20"/>
          <w:szCs w:val="20"/>
        </w:rPr>
        <w:t>mikroprzedsiębiorców</w:t>
      </w:r>
      <w:proofErr w:type="spellEnd"/>
      <w:r w:rsidR="0008334A" w:rsidRPr="005C158A">
        <w:rPr>
          <w:rFonts w:ascii="Arial" w:hAnsi="Arial" w:cs="Arial"/>
          <w:sz w:val="20"/>
          <w:szCs w:val="20"/>
        </w:rPr>
        <w:t>) ubiegających się o finansowanie. Wprowadzenie tej propozycji zapewni to, aby klienci nie ulegli „</w:t>
      </w:r>
      <w:proofErr w:type="spellStart"/>
      <w:r w:rsidR="0008334A" w:rsidRPr="005C158A">
        <w:rPr>
          <w:rFonts w:ascii="Arial" w:hAnsi="Arial" w:cs="Arial"/>
          <w:sz w:val="20"/>
          <w:szCs w:val="20"/>
        </w:rPr>
        <w:t>przekredytowaniu</w:t>
      </w:r>
      <w:proofErr w:type="spellEnd"/>
      <w:r w:rsidR="0008334A" w:rsidRPr="005C158A">
        <w:rPr>
          <w:rFonts w:ascii="Arial" w:hAnsi="Arial" w:cs="Arial"/>
          <w:sz w:val="20"/>
          <w:szCs w:val="20"/>
        </w:rPr>
        <w:t>”, ale też aby instytucje finansowe udzielające finansowego wsparcia mogły to czynić bezpiecznie, nie doprowadzając do nieodpowiedzialnego kredytowania, co w konsekwencji mogłoby mieć bardzo negatywne skutki dla całej gospodarki państwa.</w:t>
      </w:r>
    </w:p>
    <w:p w14:paraId="0E852F99" w14:textId="2A01BC5F" w:rsidR="0008334A" w:rsidRPr="005C158A" w:rsidRDefault="0008334A" w:rsidP="00401710">
      <w:pPr>
        <w:spacing w:before="120" w:after="120" w:line="360" w:lineRule="auto"/>
        <w:jc w:val="both"/>
        <w:rPr>
          <w:rFonts w:ascii="Arial" w:hAnsi="Arial" w:cs="Arial"/>
          <w:sz w:val="20"/>
          <w:szCs w:val="20"/>
        </w:rPr>
      </w:pPr>
      <w:r w:rsidRPr="005C158A">
        <w:rPr>
          <w:rFonts w:ascii="Arial" w:hAnsi="Arial" w:cs="Arial"/>
          <w:sz w:val="20"/>
          <w:szCs w:val="20"/>
        </w:rPr>
        <w:t>Przedstawioną propozycję legislacyjną dodatkowo uzasadnia fakt, że firmy leasingowe i faktoringowe są już objęte zakresem art. 106d Prawa bankowego, co wskazuje w sposób jednoznaczny na to, że są elementem systemu wymiany informacji, który z punktu widzenia ustawodawcy wprost służy bankom, ale także innym instytucjom pozostającym w ścisłym związku z bankami. Zatem skoro dane z firm leasingowych i faktoringowych służą zapobieganiu fraudom w sektorze finansowym, to tym bardziej w celu uszczelnienia systemu i dostępności do informacji powinny mieć one możliwość przekazywania do instytucji takiej, jak BIK, informacji na temat zaciąganych w tych firmach zobowiązań i ich spłacalności. Obecnie art. 105 ust. 4 Prawa bankowego nie przewiduje w zawartym w tym artykule katalogu podmiotowym ani firm leasingowych, ani faktoringowych.</w:t>
      </w:r>
    </w:p>
    <w:p w14:paraId="65E4D134" w14:textId="2A772DDB" w:rsidR="00492A48" w:rsidRPr="005C158A" w:rsidRDefault="00855C56" w:rsidP="00401710">
      <w:pPr>
        <w:pStyle w:val="Nagwek2"/>
        <w:spacing w:before="120" w:after="120" w:line="360" w:lineRule="auto"/>
        <w:jc w:val="both"/>
        <w:rPr>
          <w:rFonts w:ascii="Arial" w:hAnsi="Arial" w:cs="Arial"/>
          <w:color w:val="auto"/>
          <w:sz w:val="20"/>
          <w:szCs w:val="20"/>
        </w:rPr>
      </w:pPr>
      <w:bookmarkStart w:id="46" w:name="_Toc138329762"/>
      <w:r w:rsidRPr="005C158A">
        <w:rPr>
          <w:rFonts w:ascii="Arial" w:hAnsi="Arial" w:cs="Arial"/>
          <w:color w:val="auto"/>
          <w:sz w:val="20"/>
          <w:szCs w:val="20"/>
        </w:rPr>
        <w:t>Ustawa</w:t>
      </w:r>
      <w:r w:rsidR="00492A48" w:rsidRPr="005C158A">
        <w:rPr>
          <w:rFonts w:ascii="Arial" w:hAnsi="Arial" w:cs="Arial"/>
          <w:color w:val="auto"/>
          <w:sz w:val="20"/>
          <w:szCs w:val="20"/>
        </w:rPr>
        <w:t xml:space="preserve"> z dnia 13 października 1998 r. o systemie ubezpieczeń społecznych</w:t>
      </w:r>
      <w:bookmarkEnd w:id="46"/>
    </w:p>
    <w:p w14:paraId="27EF596D" w14:textId="438396A4" w:rsidR="000F2229" w:rsidRPr="005C158A" w:rsidRDefault="000F2229"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Zgodnie z art. 26 ustawy z dnia 5 lipca 2018 r. o zarządzie sukcesyjnym przedsiębiorstwem osoby fizycznej i innych ułatwieniach związanych z sukcesją przedsiębiorstw, do wynagrodzenia zarządcy sukcesyjnego stosuje się odpowiednio przepisy </w:t>
      </w:r>
      <w:proofErr w:type="spellStart"/>
      <w:r w:rsidR="008E424E" w:rsidRPr="005C158A">
        <w:rPr>
          <w:rFonts w:ascii="Arial" w:hAnsi="Arial" w:cs="Arial"/>
          <w:sz w:val="20"/>
          <w:szCs w:val="20"/>
        </w:rPr>
        <w:t>Kc</w:t>
      </w:r>
      <w:proofErr w:type="spellEnd"/>
      <w:r w:rsidRPr="005C158A">
        <w:rPr>
          <w:rFonts w:ascii="Arial" w:hAnsi="Arial" w:cs="Arial"/>
          <w:sz w:val="20"/>
          <w:szCs w:val="20"/>
        </w:rPr>
        <w:t xml:space="preserve"> o zleceniu. Zarządca sukcesyjny może również pełnić swoją funkcję bez wynagrodzenia. W związku z pojawiającymi się praktycznymi wątpliwościami w zakresie obowiązku opłacania składek przez takich zarządców sukcesyjnych, proponuje się doprecyzowanie w ustawie z dnia 13 października 1998 r. o systemie ubezpieczeń społecznych, że zarządca sukcesyjny pełniący funkcję bez wynagrodzenia nie podlega obowiązkowo ubezpieczeniom społecznym.</w:t>
      </w:r>
    </w:p>
    <w:p w14:paraId="70A3B70F" w14:textId="53EC8CAD" w:rsidR="004F52B6" w:rsidRPr="005C158A" w:rsidRDefault="00855C56" w:rsidP="00401710">
      <w:pPr>
        <w:pStyle w:val="Nagwek2"/>
        <w:spacing w:before="120" w:after="120" w:line="360" w:lineRule="auto"/>
        <w:jc w:val="both"/>
        <w:rPr>
          <w:rFonts w:ascii="Arial" w:hAnsi="Arial" w:cs="Arial"/>
          <w:color w:val="auto"/>
          <w:sz w:val="20"/>
          <w:szCs w:val="20"/>
        </w:rPr>
      </w:pPr>
      <w:bookmarkStart w:id="47" w:name="_Toc138329763"/>
      <w:r w:rsidRPr="005C158A">
        <w:rPr>
          <w:rFonts w:ascii="Arial" w:hAnsi="Arial" w:cs="Arial"/>
          <w:color w:val="auto"/>
          <w:sz w:val="20"/>
          <w:szCs w:val="20"/>
        </w:rPr>
        <w:t>Ustawa</w:t>
      </w:r>
      <w:r w:rsidR="004F52B6" w:rsidRPr="005C158A">
        <w:rPr>
          <w:rFonts w:ascii="Arial" w:hAnsi="Arial" w:cs="Arial"/>
          <w:color w:val="auto"/>
          <w:sz w:val="20"/>
          <w:szCs w:val="20"/>
        </w:rPr>
        <w:t xml:space="preserve"> z dnia 17 grudnia 1998 r. o emeryturach i rentach z Funduszu Ubezpieczeń Społecznych</w:t>
      </w:r>
      <w:bookmarkEnd w:id="47"/>
    </w:p>
    <w:p w14:paraId="101661E3" w14:textId="642AEC4F" w:rsidR="00553E48" w:rsidRPr="005C158A" w:rsidRDefault="00553E48" w:rsidP="00553E48">
      <w:pPr>
        <w:spacing w:after="120" w:line="360" w:lineRule="auto"/>
        <w:jc w:val="both"/>
        <w:rPr>
          <w:rFonts w:ascii="Arial" w:hAnsi="Arial" w:cs="Arial"/>
          <w:sz w:val="20"/>
          <w:szCs w:val="20"/>
        </w:rPr>
      </w:pPr>
      <w:r w:rsidRPr="005C158A">
        <w:rPr>
          <w:rFonts w:ascii="Arial" w:hAnsi="Arial" w:cs="Arial"/>
          <w:sz w:val="20"/>
          <w:szCs w:val="20"/>
        </w:rPr>
        <w:t xml:space="preserve">Decyzje podejmowane przez Prezesa Rady Ministrów na podstawie art. 82 ust. 1 ustawy o emeryturach i rentach z Funduszu Ubezpieczeń Społecznych są decyzjami w pełni uznaniowymi. Przed ich podjęciem przeprowadzane jest jednak postępowanie mające na celu ustalenie, wyjaśnienie i udokumentowanie wszystkich istotnych okoliczności sprawy mogących mieć wpływ na rozstrzygnięcie w tym zakresie. W praktyce nie zdarza się zatem, aby strona, po otrzymaniu decyzji w pierwszej instancji, występując do Prezesa Rady Ministrów z wnioskiem o ponowne rozpatrzenie sprawy, wskazała nowe, istotne okoliczności mogące spowodować zmianę podjętej już decyzji w pierwszej instancji. Tak więc wydawane w tych sprawach, na podstawie tego samego materiału dowodowego, decyzje Prezesa Rady Ministrów w drugiej instancji, co do zasady utrzymują w mocy decyzje własne Prezesa Rady Ministrów wydane w pierwszej instancji. Zasada dwuinstancyjności nie znajduje zatem w tej kategorii spraw uzasadnienia, a jedynie niepotrzebnie przedłuża postępowanie administracyjne, podczas gdy strona zainteresowana jest m.in. szybkim wydaniem decyzji ostatecznej, także odmownej, </w:t>
      </w:r>
      <w:r w:rsidRPr="005C158A">
        <w:rPr>
          <w:rFonts w:ascii="Arial" w:hAnsi="Arial" w:cs="Arial"/>
          <w:sz w:val="20"/>
          <w:szCs w:val="20"/>
        </w:rPr>
        <w:lastRenderedPageBreak/>
        <w:t>którą może zaskarżyć do Wojewódzkiego Sądu Administracyjnego. Zasada dwuinstancyjności w tej kategorii spraw nie jest więc zgodna ze słusznym interesem strony.</w:t>
      </w:r>
    </w:p>
    <w:p w14:paraId="45B5FCCF" w14:textId="77777777" w:rsidR="00553E48" w:rsidRPr="005C158A" w:rsidRDefault="00553E48" w:rsidP="00553E48">
      <w:pPr>
        <w:spacing w:after="120" w:line="360" w:lineRule="auto"/>
        <w:jc w:val="both"/>
        <w:rPr>
          <w:rFonts w:ascii="Arial" w:hAnsi="Arial" w:cs="Arial"/>
          <w:sz w:val="20"/>
          <w:szCs w:val="20"/>
        </w:rPr>
      </w:pPr>
      <w:r w:rsidRPr="005C158A">
        <w:rPr>
          <w:rFonts w:ascii="Arial" w:hAnsi="Arial" w:cs="Arial"/>
          <w:sz w:val="20"/>
          <w:szCs w:val="20"/>
        </w:rPr>
        <w:t>Zauważyć ponadto należy, że wydanie decyzji ostatecznej, niezależnie od tego czy będzie to postępowanie jednoinstancyjne czy dwuinstancyjne, nie uniemożliwia stronie podjęcia w przyszłości działań zmierzających do zmiany tej decyzji. Nie tylko ma bowiem możliwość skorzystania z jednego z trybów nadzwyczajnych przewidzianym w Kodeksie postępowania administracyjnego, ale w sytuacji, gdy w sprawie zaistnieją nowe, istotne okoliczności, które nie były brane pod uwagę przy wydaniu ostatecznej decyzji w przedmiocie przyznania świadczenia specjalnego, w każdym czasie może wystąpić z kolejnym, nowym wnioskiem w tej sprawie. Wówczas postępowanie administracyjne toczy się od nowa i jeżeli okaże się to uzasadnione w świetle nowych okoliczności sprawy, może być wydana inna w swej istocie decyzja, niż poprzednio wydana decyzja ostateczna. Tak więc odstąpienie od zasady dwuinstancyjności postępowania nie zamyka stronie możliwości otrzymania w tych sprawach ponownej, korzystnej dla niej decyzji.</w:t>
      </w:r>
    </w:p>
    <w:p w14:paraId="32EADB9D" w14:textId="5DB891ED" w:rsidR="00553E48" w:rsidRPr="005C158A" w:rsidRDefault="00553E48" w:rsidP="00401710">
      <w:pPr>
        <w:spacing w:before="120" w:after="120" w:line="360" w:lineRule="auto"/>
        <w:jc w:val="both"/>
        <w:rPr>
          <w:rFonts w:ascii="Arial" w:hAnsi="Arial" w:cs="Arial"/>
          <w:sz w:val="20"/>
          <w:szCs w:val="20"/>
        </w:rPr>
      </w:pPr>
      <w:r w:rsidRPr="005C158A">
        <w:rPr>
          <w:rFonts w:ascii="Arial" w:hAnsi="Arial" w:cs="Arial"/>
          <w:sz w:val="20"/>
          <w:szCs w:val="20"/>
        </w:rPr>
        <w:t>Analogiczne rozwiązanie zastosowane zostało w art. 8 ust. 2a ustawy o zaopatrzeniu emerytalnym żołnierzy zawodowych oraz ich rodzin, czy też o zaopatrzeniu emerytalnym innych służb mundurowych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Celno-Skarbowej i Służby Więziennej) oraz ich rodzin w odniesieniu do uprawnienia do przyznawania świadczeń emerytalno-rentowych w drodze wyjątku przez ministrów właściwych do spraw wewnętrznych, właściwych do spraw finansów publicznych, obrony narodowej oraz sprawiedliwości.</w:t>
      </w:r>
    </w:p>
    <w:p w14:paraId="1C40F025" w14:textId="28892F5F" w:rsidR="00F81906" w:rsidRPr="005C158A" w:rsidRDefault="00855C56" w:rsidP="00401710">
      <w:pPr>
        <w:pStyle w:val="Nagwek2"/>
        <w:spacing w:before="120" w:after="120" w:line="360" w:lineRule="auto"/>
        <w:jc w:val="both"/>
        <w:rPr>
          <w:rFonts w:ascii="Arial" w:hAnsi="Arial" w:cs="Arial"/>
          <w:color w:val="auto"/>
          <w:sz w:val="20"/>
          <w:szCs w:val="20"/>
        </w:rPr>
      </w:pPr>
      <w:bookmarkStart w:id="48" w:name="_Toc138329764"/>
      <w:r w:rsidRPr="005C158A">
        <w:rPr>
          <w:rFonts w:ascii="Arial" w:hAnsi="Arial" w:cs="Arial"/>
          <w:color w:val="auto"/>
          <w:sz w:val="20"/>
          <w:szCs w:val="20"/>
        </w:rPr>
        <w:t>Ustawa</w:t>
      </w:r>
      <w:r w:rsidR="00F81906" w:rsidRPr="005C158A">
        <w:rPr>
          <w:rFonts w:ascii="Arial" w:hAnsi="Arial" w:cs="Arial"/>
          <w:color w:val="auto"/>
          <w:sz w:val="20"/>
          <w:szCs w:val="20"/>
        </w:rPr>
        <w:t xml:space="preserve"> z dnia 15 września 2000 r. </w:t>
      </w:r>
      <w:r w:rsidR="005F3FD2" w:rsidRPr="005C158A">
        <w:rPr>
          <w:rFonts w:ascii="Arial" w:hAnsi="Arial" w:cs="Arial"/>
          <w:color w:val="auto"/>
          <w:sz w:val="20"/>
          <w:szCs w:val="20"/>
        </w:rPr>
        <w:t xml:space="preserve">– </w:t>
      </w:r>
      <w:r w:rsidR="00F81906" w:rsidRPr="005C158A">
        <w:rPr>
          <w:rFonts w:ascii="Arial" w:hAnsi="Arial" w:cs="Arial"/>
          <w:color w:val="auto"/>
          <w:sz w:val="20"/>
          <w:szCs w:val="20"/>
        </w:rPr>
        <w:t>Kodeks spółek handlowych</w:t>
      </w:r>
      <w:bookmarkEnd w:id="48"/>
    </w:p>
    <w:p w14:paraId="02496EEC" w14:textId="3E89948B"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Prawo do udziałów albo akcji może przysługiwać więcej niż jednej osobie. Wspólność praw wymaga </w:t>
      </w:r>
      <w:r w:rsidR="00267DAA" w:rsidRPr="005C158A">
        <w:rPr>
          <w:rFonts w:ascii="Arial" w:hAnsi="Arial" w:cs="Arial"/>
          <w:sz w:val="20"/>
          <w:szCs w:val="20"/>
        </w:rPr>
        <w:t xml:space="preserve">przy tym </w:t>
      </w:r>
      <w:r w:rsidRPr="005C158A">
        <w:rPr>
          <w:rFonts w:ascii="Arial" w:hAnsi="Arial" w:cs="Arial"/>
          <w:sz w:val="20"/>
          <w:szCs w:val="20"/>
        </w:rPr>
        <w:t>współdziałania współuprawnionych. W Kodeksie spółek handlowych (</w:t>
      </w:r>
      <w:r w:rsidR="008E424E" w:rsidRPr="005C158A">
        <w:rPr>
          <w:rFonts w:ascii="Arial" w:hAnsi="Arial" w:cs="Arial"/>
          <w:sz w:val="20"/>
          <w:szCs w:val="20"/>
        </w:rPr>
        <w:t xml:space="preserve">dalej: </w:t>
      </w:r>
      <w:proofErr w:type="spellStart"/>
      <w:r w:rsidRPr="005C158A">
        <w:rPr>
          <w:rFonts w:ascii="Arial" w:hAnsi="Arial" w:cs="Arial"/>
          <w:sz w:val="20"/>
          <w:szCs w:val="20"/>
        </w:rPr>
        <w:t>Ksh</w:t>
      </w:r>
      <w:proofErr w:type="spellEnd"/>
      <w:r w:rsidRPr="005C158A">
        <w:rPr>
          <w:rFonts w:ascii="Arial" w:hAnsi="Arial" w:cs="Arial"/>
          <w:sz w:val="20"/>
          <w:szCs w:val="20"/>
        </w:rPr>
        <w:t>) przewidziano instytucję wspólnego przedstawiciela (</w:t>
      </w:r>
      <w:r w:rsidR="00267DAA" w:rsidRPr="005C158A">
        <w:rPr>
          <w:rFonts w:ascii="Arial" w:hAnsi="Arial" w:cs="Arial"/>
          <w:sz w:val="20"/>
          <w:szCs w:val="20"/>
        </w:rPr>
        <w:t xml:space="preserve">art. 60 § 1, </w:t>
      </w:r>
      <w:r w:rsidRPr="005C158A">
        <w:rPr>
          <w:rFonts w:ascii="Arial" w:hAnsi="Arial" w:cs="Arial"/>
          <w:sz w:val="20"/>
          <w:szCs w:val="20"/>
        </w:rPr>
        <w:t>w art. 184 § 1, art. 300</w:t>
      </w:r>
      <w:r w:rsidRPr="005C158A">
        <w:rPr>
          <w:rFonts w:ascii="Arial" w:hAnsi="Arial" w:cs="Arial"/>
          <w:sz w:val="20"/>
          <w:szCs w:val="20"/>
          <w:vertAlign w:val="superscript"/>
        </w:rPr>
        <w:t>38</w:t>
      </w:r>
      <w:r w:rsidRPr="005C158A">
        <w:rPr>
          <w:rFonts w:ascii="Arial" w:hAnsi="Arial" w:cs="Arial"/>
          <w:sz w:val="20"/>
          <w:szCs w:val="20"/>
        </w:rPr>
        <w:t xml:space="preserve"> § 3 i art. 333 § 2). Brak </w:t>
      </w:r>
      <w:r w:rsidR="00A256EB" w:rsidRPr="005C158A">
        <w:rPr>
          <w:rFonts w:ascii="Arial" w:hAnsi="Arial" w:cs="Arial"/>
          <w:sz w:val="20"/>
          <w:szCs w:val="20"/>
        </w:rPr>
        <w:t xml:space="preserve">jest </w:t>
      </w:r>
      <w:r w:rsidRPr="005C158A">
        <w:rPr>
          <w:rFonts w:ascii="Arial" w:hAnsi="Arial" w:cs="Arial"/>
          <w:sz w:val="20"/>
          <w:szCs w:val="20"/>
        </w:rPr>
        <w:t xml:space="preserve">jednak przepisów określających reguły powołania, odwołania oraz rezygnacji wspólnego przedstawiciela. W doktrynie wyrażono różne poglądy w zakresie stosowania w tym względzie przepisów działu IV </w:t>
      </w:r>
      <w:proofErr w:type="spellStart"/>
      <w:r w:rsidR="00DF531B" w:rsidRPr="005C158A">
        <w:rPr>
          <w:rFonts w:ascii="Arial" w:hAnsi="Arial" w:cs="Arial"/>
          <w:sz w:val="20"/>
          <w:szCs w:val="20"/>
        </w:rPr>
        <w:t>Kc</w:t>
      </w:r>
      <w:proofErr w:type="spellEnd"/>
      <w:r w:rsidRPr="005C158A">
        <w:rPr>
          <w:rFonts w:ascii="Arial" w:hAnsi="Arial" w:cs="Arial"/>
          <w:sz w:val="20"/>
          <w:szCs w:val="20"/>
        </w:rPr>
        <w:t xml:space="preserve"> dotyczących współwłasności, m.in. krytycznie odniesiono się do możliwości wyznaczenia wspólnego przedstawiciela przez sąd na podstawie art. 203 </w:t>
      </w:r>
      <w:proofErr w:type="spellStart"/>
      <w:r w:rsidR="00DF531B" w:rsidRPr="005C158A">
        <w:rPr>
          <w:rFonts w:ascii="Arial" w:hAnsi="Arial" w:cs="Arial"/>
          <w:sz w:val="20"/>
          <w:szCs w:val="20"/>
        </w:rPr>
        <w:t>Kc</w:t>
      </w:r>
      <w:proofErr w:type="spellEnd"/>
      <w:r w:rsidRPr="005C158A">
        <w:rPr>
          <w:rFonts w:ascii="Arial" w:hAnsi="Arial" w:cs="Arial"/>
          <w:sz w:val="20"/>
          <w:szCs w:val="20"/>
          <w:vertAlign w:val="superscript"/>
        </w:rPr>
        <w:footnoteReference w:id="5"/>
      </w:r>
      <w:r w:rsidRPr="005C158A">
        <w:rPr>
          <w:rFonts w:ascii="Arial" w:hAnsi="Arial" w:cs="Arial"/>
          <w:sz w:val="20"/>
          <w:szCs w:val="20"/>
        </w:rPr>
        <w:t>. Na gruncie obecnego stanu prawnego przyjmuje się, że sposób ustanowienia wspólnego przedstawiciela następuje zgodnie z zasadami wynikającymi z przepisów regulujących dany rodzaj współwłasności (łączna, ułamkowa)</w:t>
      </w:r>
      <w:r w:rsidRPr="005C158A">
        <w:rPr>
          <w:rFonts w:ascii="Arial" w:hAnsi="Arial" w:cs="Arial"/>
          <w:sz w:val="20"/>
          <w:szCs w:val="20"/>
          <w:vertAlign w:val="superscript"/>
        </w:rPr>
        <w:footnoteReference w:id="6"/>
      </w:r>
      <w:r w:rsidRPr="005C158A">
        <w:rPr>
          <w:rFonts w:ascii="Arial" w:hAnsi="Arial" w:cs="Arial"/>
          <w:sz w:val="20"/>
          <w:szCs w:val="20"/>
        </w:rPr>
        <w:t>, co wymaga wcześniejszego ustalenia rodzaju współwłasności.</w:t>
      </w:r>
    </w:p>
    <w:p w14:paraId="5630FF0B"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Celem nowelizacji jest wprowadzenie procedury wyznaczenia, powołania, odwołania albo rezygnacji wspólnego przedstawiciela, który wykonuje prawa współuprawnionych z udziałów albo akcji we </w:t>
      </w:r>
      <w:r w:rsidRPr="005C158A">
        <w:rPr>
          <w:rFonts w:ascii="Arial" w:hAnsi="Arial" w:cs="Arial"/>
          <w:sz w:val="20"/>
          <w:szCs w:val="20"/>
        </w:rPr>
        <w:lastRenderedPageBreak/>
        <w:t xml:space="preserve">wszystkich rodzajach spółek handlowych, niezależnie od źródła powstania wspólności prawa do udziału albo akcji. </w:t>
      </w:r>
    </w:p>
    <w:p w14:paraId="30B52264"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Przy czym zasługującym na szczególną uwagę jest przypadek powstania wspólności praw powstałych na skutek śmierci wspólnika albo akcjonariusza.</w:t>
      </w:r>
    </w:p>
    <w:p w14:paraId="2FF51532" w14:textId="7C68E2E8"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W spółkach osobowych śmierć wspólnika prowadzi często do rozwiązania spółki (zwłaszcza w</w:t>
      </w:r>
      <w:r w:rsidR="00295358" w:rsidRPr="005C158A">
        <w:rPr>
          <w:rFonts w:ascii="Arial" w:hAnsi="Arial" w:cs="Arial"/>
          <w:sz w:val="20"/>
          <w:szCs w:val="20"/>
        </w:rPr>
        <w:t> </w:t>
      </w:r>
      <w:r w:rsidRPr="005C158A">
        <w:rPr>
          <w:rFonts w:ascii="Arial" w:hAnsi="Arial" w:cs="Arial"/>
          <w:sz w:val="20"/>
          <w:szCs w:val="20"/>
        </w:rPr>
        <w:t>przypadku spółek dwuosobowych). Śmierć wspólnika stanowi przyczynę rozwiązania spółki (art. 58 § 1 pkt 4), chyba że umowa spółki stanowi inaczej. Zgodnie z art. 64 § 1, pomimo śmierci wspólnika spółka trwa nadal pomiędzy pozostałymi wspólnikami, jeżeli umowa spółki tak stanowi lub pozostali wspólnicy tak postanowią. Zasadą jest, że nie może istnieć spółka osobowa mająca tylko jednego wspólnika, a odstępstwo w tym zakresie przewiduje obecnie jedynie art. 98 § 2. Zgodnie z tym przepisem</w:t>
      </w:r>
      <w:r w:rsidR="00DF531B" w:rsidRPr="005C158A">
        <w:rPr>
          <w:rFonts w:ascii="Arial" w:hAnsi="Arial" w:cs="Arial"/>
          <w:sz w:val="20"/>
          <w:szCs w:val="20"/>
        </w:rPr>
        <w:t>,</w:t>
      </w:r>
      <w:r w:rsidRPr="005C158A">
        <w:rPr>
          <w:rFonts w:ascii="Arial" w:hAnsi="Arial" w:cs="Arial"/>
          <w:sz w:val="20"/>
          <w:szCs w:val="20"/>
        </w:rPr>
        <w:t xml:space="preserve"> w przypadku</w:t>
      </w:r>
      <w:r w:rsidR="00DF531B" w:rsidRPr="005C158A">
        <w:rPr>
          <w:rFonts w:ascii="Arial" w:hAnsi="Arial" w:cs="Arial"/>
          <w:sz w:val="20"/>
          <w:szCs w:val="20"/>
        </w:rPr>
        <w:t>,</w:t>
      </w:r>
      <w:r w:rsidRPr="005C158A">
        <w:rPr>
          <w:rFonts w:ascii="Arial" w:hAnsi="Arial" w:cs="Arial"/>
          <w:sz w:val="20"/>
          <w:szCs w:val="20"/>
        </w:rPr>
        <w:t xml:space="preserve"> gdy w spółce pozostaje jeden partner, spółka ulega rozwiązaniu najpóźniej z</w:t>
      </w:r>
      <w:r w:rsidR="00295358" w:rsidRPr="005C158A">
        <w:rPr>
          <w:rFonts w:ascii="Arial" w:hAnsi="Arial" w:cs="Arial"/>
          <w:sz w:val="20"/>
          <w:szCs w:val="20"/>
        </w:rPr>
        <w:t> </w:t>
      </w:r>
      <w:r w:rsidRPr="005C158A">
        <w:rPr>
          <w:rFonts w:ascii="Arial" w:hAnsi="Arial" w:cs="Arial"/>
          <w:sz w:val="20"/>
          <w:szCs w:val="20"/>
        </w:rPr>
        <w:t xml:space="preserve">upływem roku od dnia zaistnienia tego zdarzenia. Brak </w:t>
      </w:r>
      <w:r w:rsidR="00DF531B" w:rsidRPr="005C158A">
        <w:rPr>
          <w:rFonts w:ascii="Arial" w:hAnsi="Arial" w:cs="Arial"/>
          <w:sz w:val="20"/>
          <w:szCs w:val="20"/>
        </w:rPr>
        <w:t xml:space="preserve">jest </w:t>
      </w:r>
      <w:r w:rsidRPr="005C158A">
        <w:rPr>
          <w:rFonts w:ascii="Arial" w:hAnsi="Arial" w:cs="Arial"/>
          <w:sz w:val="20"/>
          <w:szCs w:val="20"/>
        </w:rPr>
        <w:t>podobnych regulacji w odniesieniu do pozostałych spółek osobowych.</w:t>
      </w:r>
    </w:p>
    <w:p w14:paraId="683AE1D9" w14:textId="4CF8F5E6"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W spółce kapitałowej w następstwie śmierci wspólnika może z kolei dojść do paraliżu decyzyjnego, a</w:t>
      </w:r>
      <w:r w:rsidR="00295358" w:rsidRPr="005C158A">
        <w:rPr>
          <w:rFonts w:ascii="Arial" w:hAnsi="Arial" w:cs="Arial"/>
          <w:sz w:val="20"/>
          <w:szCs w:val="20"/>
        </w:rPr>
        <w:t> </w:t>
      </w:r>
      <w:r w:rsidRPr="005C158A">
        <w:rPr>
          <w:rFonts w:ascii="Arial" w:hAnsi="Arial" w:cs="Arial"/>
          <w:sz w:val="20"/>
          <w:szCs w:val="20"/>
        </w:rPr>
        <w:t>wręcz spółka może nie mieć możliwości działania przez długi czas. Chodzi zwłaszcza o przypadki, gdy jedyny albo większościowy wspólnik jest jednocześnie jedynym członkiem zarządu spółki. Wówczas – nawet jeśli spadkobiercy wspólnika wstępują do spółki – nie ma osoby uprawnionej do jej reprezentacji, a wybór nowego zarządu jest formalnie możliwy dopiero po definitywnym ustaleniu kręgu spadkobierców przez sąd albo przed notariuszem. Nabycie udziałów przez spadkobierców jest bowiem skuteczne wobec spółki dopiero od momentu zawiadomienia jej o nabyciu. Do zawiadomienia należy natomiast załączyć dokumenty stwierdzające nabycie udziałów (art. 187 § 1). W praktyce jest to akt poświadczenia dziedziczenia albo stwierdzenie nabycia spadku (ewentualnie – europejskie poświadczenie spadkowe).</w:t>
      </w:r>
    </w:p>
    <w:p w14:paraId="35F734FF" w14:textId="58A96F71"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Nawet jeśli umowa (statut) spółki umożliwia dalsze funkcjonowanie spółki mimo śmierci wspólnika (akcjonariusza) – przedłużające się procedury spadkowe powodują, że nie mogą w nim uczestniczyć spadkobiercy wspólnika (akcjonariusza), dla których działalność spółki może stanowić podstawowe źródło utrzymania. Ich prawa muszą być bowiem wykonywane przez jedną osobę (wspólnego przedstawiciela), a jej wybór wymaga zgody wszystkich współuprawnionych. Z perspektywy współuprawnionych w obecnym stanie prawnym </w:t>
      </w:r>
      <w:r w:rsidRPr="005C158A">
        <w:rPr>
          <w:rFonts w:ascii="Arial" w:hAnsi="Arial" w:cs="Arial"/>
          <w:i/>
          <w:iCs/>
          <w:sz w:val="20"/>
          <w:szCs w:val="20"/>
        </w:rPr>
        <w:t>de facto</w:t>
      </w:r>
      <w:r w:rsidRPr="005C158A">
        <w:rPr>
          <w:rFonts w:ascii="Arial" w:hAnsi="Arial" w:cs="Arial"/>
          <w:sz w:val="20"/>
          <w:szCs w:val="20"/>
        </w:rPr>
        <w:t xml:space="preserve"> dopiero od momentu stwierdzenia nabycia spadku następcy prawni mogą dysponować prawami korporacyjnymi zmarłego wspólnika (akcjonariusza) w spółce. Brak możliwości tymczasowego zarządzania tymi prawami (w sposób zbliżony do zarządu sukcesyjnego przedsiębiorstwem) grozi stratami dla samej spółki, spadkobierców i</w:t>
      </w:r>
      <w:r w:rsidR="00295358" w:rsidRPr="005C158A">
        <w:rPr>
          <w:rFonts w:ascii="Arial" w:hAnsi="Arial" w:cs="Arial"/>
          <w:sz w:val="20"/>
          <w:szCs w:val="20"/>
        </w:rPr>
        <w:t> </w:t>
      </w:r>
      <w:r w:rsidRPr="005C158A">
        <w:rPr>
          <w:rFonts w:ascii="Arial" w:hAnsi="Arial" w:cs="Arial"/>
          <w:sz w:val="20"/>
          <w:szCs w:val="20"/>
        </w:rPr>
        <w:t>pozostałych wspólników (akcjonariuszy).</w:t>
      </w:r>
    </w:p>
    <w:p w14:paraId="67B8FB71" w14:textId="7EA883BE"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W celu zapewnienia płynnego wykonywania wspólnych praw z udziału albo akcji, proponuje się wprowadzenie przepisów umożliwiających tymczasowe wykonywanie tych praw przez wspólnego przedstawiciela w czasie trwania wspólności praw, także przed określeniem kręgu spadkobierców przez sąd albo przed notariuszem. Zmiany nie wpływają na prymat interesu spółki nad interesem poszczególnych współuprawnionych ani nie wpływa</w:t>
      </w:r>
      <w:r w:rsidR="00DF65D1" w:rsidRPr="005C158A">
        <w:rPr>
          <w:rFonts w:ascii="Arial" w:hAnsi="Arial" w:cs="Arial"/>
          <w:sz w:val="20"/>
          <w:szCs w:val="20"/>
        </w:rPr>
        <w:t>ją</w:t>
      </w:r>
      <w:r w:rsidRPr="005C158A">
        <w:rPr>
          <w:rFonts w:ascii="Arial" w:hAnsi="Arial" w:cs="Arial"/>
          <w:sz w:val="20"/>
          <w:szCs w:val="20"/>
        </w:rPr>
        <w:t xml:space="preserve"> na zakres umocowania wspólnego przedstawiciela (wspólny przedstawiciel jest umocowany do wykonywania w spółce wszelkich </w:t>
      </w:r>
      <w:r w:rsidRPr="005C158A">
        <w:rPr>
          <w:rFonts w:ascii="Arial" w:hAnsi="Arial" w:cs="Arial"/>
          <w:sz w:val="20"/>
          <w:szCs w:val="20"/>
        </w:rPr>
        <w:lastRenderedPageBreak/>
        <w:t>uprawnień korporacyjnych i majątkowych). Porządkują jedynie reguły wyboru wspólnego przedstawiciela, jego odwołania albo rezygnacji.</w:t>
      </w:r>
    </w:p>
    <w:p w14:paraId="3E9311F7" w14:textId="1044C9F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Przepisy zmieniające (dodawane </w:t>
      </w:r>
      <w:r w:rsidRPr="005C158A">
        <w:rPr>
          <w:rFonts w:ascii="Arial" w:hAnsi="Arial" w:cs="Arial"/>
          <w:b/>
          <w:sz w:val="20"/>
          <w:szCs w:val="20"/>
        </w:rPr>
        <w:t>art. 7</w:t>
      </w:r>
      <w:r w:rsidRPr="005C158A">
        <w:rPr>
          <w:rFonts w:ascii="Arial" w:hAnsi="Arial" w:cs="Arial"/>
          <w:b/>
          <w:sz w:val="20"/>
          <w:szCs w:val="20"/>
          <w:vertAlign w:val="superscript"/>
        </w:rPr>
        <w:t>2</w:t>
      </w:r>
      <w:r w:rsidRPr="005C158A">
        <w:rPr>
          <w:rFonts w:ascii="Arial" w:hAnsi="Arial" w:cs="Arial"/>
          <w:b/>
          <w:sz w:val="20"/>
          <w:szCs w:val="20"/>
        </w:rPr>
        <w:t>-7</w:t>
      </w:r>
      <w:r w:rsidR="00267DAA" w:rsidRPr="005C158A">
        <w:rPr>
          <w:rFonts w:ascii="Arial" w:hAnsi="Arial" w:cs="Arial"/>
          <w:b/>
          <w:sz w:val="20"/>
          <w:szCs w:val="20"/>
          <w:vertAlign w:val="superscript"/>
        </w:rPr>
        <w:t>5</w:t>
      </w:r>
      <w:r w:rsidR="00267DAA" w:rsidRPr="005C158A">
        <w:rPr>
          <w:rFonts w:ascii="Arial" w:hAnsi="Arial" w:cs="Arial"/>
          <w:sz w:val="20"/>
          <w:szCs w:val="20"/>
        </w:rPr>
        <w:t xml:space="preserve"> </w:t>
      </w:r>
      <w:proofErr w:type="spellStart"/>
      <w:r w:rsidR="00A7551B" w:rsidRPr="005C158A">
        <w:rPr>
          <w:rFonts w:ascii="Arial" w:hAnsi="Arial" w:cs="Arial"/>
          <w:sz w:val="20"/>
          <w:szCs w:val="20"/>
        </w:rPr>
        <w:t>Ksh</w:t>
      </w:r>
      <w:proofErr w:type="spellEnd"/>
      <w:r w:rsidRPr="005C158A">
        <w:rPr>
          <w:rFonts w:ascii="Arial" w:hAnsi="Arial" w:cs="Arial"/>
          <w:sz w:val="20"/>
          <w:szCs w:val="20"/>
        </w:rPr>
        <w:t xml:space="preserve">) umieszczono w tytule I Przepisy ogólne dziale I Przepisy wspólne Kodeksu spółek handlowych. </w:t>
      </w:r>
    </w:p>
    <w:p w14:paraId="2B250A7F"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Celem przepisów zmieniających jest przede wszystkim:</w:t>
      </w:r>
    </w:p>
    <w:p w14:paraId="471074D7" w14:textId="3A04D2AF" w:rsidR="00F81906" w:rsidRPr="005C158A" w:rsidRDefault="00F81906" w:rsidP="0011422D">
      <w:pPr>
        <w:pStyle w:val="Akapitzlist"/>
        <w:numPr>
          <w:ilvl w:val="0"/>
          <w:numId w:val="40"/>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umożliwienie wyznaczenia wspólnego przedstawiciela w umowie albo statucie spółki, </w:t>
      </w:r>
    </w:p>
    <w:p w14:paraId="5D5F399D" w14:textId="66136820" w:rsidR="00F81906" w:rsidRPr="005C158A" w:rsidRDefault="00DF65D1" w:rsidP="0011422D">
      <w:pPr>
        <w:pStyle w:val="Akapitzlist"/>
        <w:numPr>
          <w:ilvl w:val="0"/>
          <w:numId w:val="40"/>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powołanie </w:t>
      </w:r>
      <w:r w:rsidR="00F81906" w:rsidRPr="005C158A">
        <w:rPr>
          <w:rFonts w:ascii="Arial" w:hAnsi="Arial" w:cs="Arial"/>
          <w:sz w:val="20"/>
          <w:szCs w:val="20"/>
        </w:rPr>
        <w:t>za życia wspólnika (czynnością jednostronną) albo po jego śmierci, wspólnego przedstawiciela, także w przypadku braku pełnej zgody wszystkich współuprawnionych,</w:t>
      </w:r>
    </w:p>
    <w:p w14:paraId="29323040" w14:textId="118E8AB0" w:rsidR="00F81906" w:rsidRPr="005C158A" w:rsidRDefault="00F81906" w:rsidP="0011422D">
      <w:pPr>
        <w:pStyle w:val="Akapitzlist"/>
        <w:numPr>
          <w:ilvl w:val="0"/>
          <w:numId w:val="40"/>
        </w:numPr>
        <w:spacing w:before="120" w:after="120" w:line="360" w:lineRule="auto"/>
        <w:ind w:left="0" w:hanging="11"/>
        <w:jc w:val="both"/>
        <w:rPr>
          <w:rFonts w:ascii="Arial" w:hAnsi="Arial" w:cs="Arial"/>
          <w:sz w:val="20"/>
          <w:szCs w:val="20"/>
        </w:rPr>
      </w:pPr>
      <w:r w:rsidRPr="005C158A">
        <w:rPr>
          <w:rFonts w:ascii="Arial" w:hAnsi="Arial" w:cs="Arial"/>
          <w:sz w:val="20"/>
          <w:szCs w:val="20"/>
        </w:rPr>
        <w:t>umożliwienie wykonywania praw współuprawnionych w spółce niezwłocznie po śmierci wspólnika.</w:t>
      </w:r>
    </w:p>
    <w:p w14:paraId="0571D687"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Wspólny przedstawiciel będzie wykonywał prawa wspólnika albo akcjonariusza w przypadku wspólnych praw do udziału albo akcji, w tym spadkobierców w rozumieniu art. 60 § 1 i art. 124 § 1 albo wspólnego przedstawiciela współuprawnionych w rozumieniu art. 184 § 1, art. 300</w:t>
      </w:r>
      <w:r w:rsidRPr="005C158A">
        <w:rPr>
          <w:rFonts w:ascii="Arial" w:hAnsi="Arial" w:cs="Arial"/>
          <w:sz w:val="20"/>
          <w:szCs w:val="20"/>
          <w:vertAlign w:val="superscript"/>
        </w:rPr>
        <w:t>38</w:t>
      </w:r>
      <w:r w:rsidRPr="005C158A">
        <w:rPr>
          <w:rFonts w:ascii="Arial" w:hAnsi="Arial" w:cs="Arial"/>
          <w:sz w:val="20"/>
          <w:szCs w:val="20"/>
        </w:rPr>
        <w:t xml:space="preserve"> § 3 i art. 333 § 2. </w:t>
      </w:r>
    </w:p>
    <w:p w14:paraId="7B3FB342"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umowie albo statucie spółki można określić sposób wykonywania wspólnych praw z udziału albo akcji przez uprawnionych w przypadku śmierci wspólnika albo akcjonariusza, w szczególności wskazać wspólnego przedstawiciela. </w:t>
      </w:r>
    </w:p>
    <w:p w14:paraId="55CCF059"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Wskazanie w umowie spółki osoby, która ma wykonywać prawa współuprawnionych w spółce jest dopuszczalne już obecnie w większości spółek na zasadzie swobody kształtowania stosunku spółki. Projekt potwierdza możliwość zawarcia takich postanowień w umowie spółki jawnej, partnerskiej, komandytowej, komandytowo-akcyjnej – w zakresie praw komplementariusza oraz spółki z ograniczoną odpowiedzialnością. W spółce akcyjnej, komandytowo-akcyjnej i prostej spółce akcyjnej w odniesieniu do praw akcjonariusza wprowadzenie wyraźnego przepisu pozwalającego na zawarcie omawianego postanowienia w umowie lub statucie jest  uzasadniony zasadą surowości statutu (art. 304 § 3 i 4).</w:t>
      </w:r>
    </w:p>
    <w:p w14:paraId="322D6C76"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Jeżeli osoba umocowana do wykonywania praw uprawnionych została wskazana w umowie spółki (lub inaczej określono w niej sposób wykonywania tych praw), nie powstanie możliwość powołania przedstawiciela przez wspólnika w drodze jednostronnej czynności. Należy bowiem przyjąć, że jeżeli umowa spółki określa sposób (zasady) wykonywania praw uprawnionych w spółce po śmierci wspólnika, to oznacza to, że wspólnicy postanowienia dotyczące tej materii uznali za istotne dla łączącego ich stosunku. Dokonanie zmian w tym zakresie będzie w związku z tym wymagało zmiany umowy albo statutu spółki.</w:t>
      </w:r>
    </w:p>
    <w:p w14:paraId="13A6B473" w14:textId="69CD9BE8"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Wspólnik albo akcjonariusz może także powołać wspólnego przedstawiciela w ten sposób, że wskaże określoną osobę do pełnienia funkcji wspólnego przedstawiciela. Wskazanie to powinno nastąpić w</w:t>
      </w:r>
      <w:r w:rsidR="00295358" w:rsidRPr="005C158A">
        <w:rPr>
          <w:rFonts w:ascii="Arial" w:hAnsi="Arial" w:cs="Arial"/>
          <w:sz w:val="20"/>
          <w:szCs w:val="20"/>
        </w:rPr>
        <w:t> </w:t>
      </w:r>
      <w:r w:rsidRPr="005C158A">
        <w:rPr>
          <w:rFonts w:ascii="Arial" w:hAnsi="Arial" w:cs="Arial"/>
          <w:sz w:val="20"/>
          <w:szCs w:val="20"/>
        </w:rPr>
        <w:t>formie pisemnej pod rygorem nieważności. Do powołania wspólnego przedstawiciela jest ponadto konieczna zgoda współuprawnionego oraz osoby powoływanej, także w formie pisemnej pod rygorem nieważności. Do powołania wspólnego przedstawiciela na wypadek śmierci wspólnika albo akcjonariusza nie jest wymagana zgoda współuprawnionego. Odwołanie wspólnego przedstawiciela wymaga natomiast zachowania formy pisemnej z datą pewną.</w:t>
      </w:r>
    </w:p>
    <w:p w14:paraId="7D65617C" w14:textId="0071E69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lastRenderedPageBreak/>
        <w:t>W powyższym rozwiązaniu można dostrzec analogię do powołania zarządcy sukcesyjnego przedsiębiorstwem osoby fizycznej przez przedsiębiorcę. Regulacje mają taki sam cel –</w:t>
      </w:r>
      <w:r w:rsidR="007D081B" w:rsidRPr="005C158A">
        <w:rPr>
          <w:rFonts w:ascii="Arial" w:hAnsi="Arial" w:cs="Arial"/>
          <w:sz w:val="20"/>
          <w:szCs w:val="20"/>
        </w:rPr>
        <w:t xml:space="preserve"> </w:t>
      </w:r>
      <w:r w:rsidRPr="005C158A">
        <w:rPr>
          <w:rFonts w:ascii="Arial" w:hAnsi="Arial" w:cs="Arial"/>
          <w:sz w:val="20"/>
          <w:szCs w:val="20"/>
        </w:rPr>
        <w:t>umożliwienie uprawnionemu za życia wskazania osoby zarządzającej po jego śmierci prawami, nad którymi zarządzanie będzie płynnie kontynuowane.</w:t>
      </w:r>
    </w:p>
    <w:p w14:paraId="3559DDB7" w14:textId="7CC0A889"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Po śmierci wspólnika albo akcjonariusza wspólnego przedstawiciela może powołać albo odwołać małżonek wspólnika, spadkobierca ustawowy wspólnika, który przyjął spadek, a także w przypadku ogłoszenia testamentu - spadkobierca testamentowy wspólnika, który</w:t>
      </w:r>
      <w:r w:rsidR="007D081B" w:rsidRPr="005C158A">
        <w:rPr>
          <w:rFonts w:ascii="Arial" w:hAnsi="Arial" w:cs="Arial"/>
          <w:sz w:val="20"/>
          <w:szCs w:val="20"/>
        </w:rPr>
        <w:t xml:space="preserve"> </w:t>
      </w:r>
      <w:r w:rsidRPr="005C158A">
        <w:rPr>
          <w:rFonts w:ascii="Arial" w:hAnsi="Arial" w:cs="Arial"/>
          <w:sz w:val="20"/>
          <w:szCs w:val="20"/>
        </w:rPr>
        <w:t>przyjął spadek albo zapisobierca windykacyjny, który przyjął zapis windykacyjny. Warunkiem przy tym jest, aby osobie tej służyły prawa zmarłego wspólnika w spółce osobowej albo osoba ta wstępowała do spółki z ograniczoną odpowiedzialnością na miejsce zmarłego wspólnika albo przysługiwały jej prawa z akcji zmarłego akcjonariusza.</w:t>
      </w:r>
    </w:p>
    <w:p w14:paraId="539B7F22"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Po uprawomocnieniu się postanowienia o stwierdzeniu nabycia spadku, zarejestrowaniu aktu poświadczenia dziedziczenia albo wydaniu europejskiego poświadczenia spadkowego, powołać albo odwołać wspólnego przedstawiciela będzie mógł wyłącznie spadkobierca albo zapisobierca windykacyjny.</w:t>
      </w:r>
    </w:p>
    <w:p w14:paraId="0F692A66" w14:textId="246B4D78"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Do powołania albo odwołania wspólnego przedstawiciela przez wspólnika (akcjonariusza) albo po śmierci wspólnika (akcjonariusza) jest wymagana zgoda osób, którym łącznie przysługuje udział w</w:t>
      </w:r>
      <w:r w:rsidR="00715FF6" w:rsidRPr="005C158A">
        <w:rPr>
          <w:rFonts w:ascii="Arial" w:hAnsi="Arial" w:cs="Arial"/>
          <w:sz w:val="20"/>
          <w:szCs w:val="20"/>
        </w:rPr>
        <w:t> </w:t>
      </w:r>
      <w:r w:rsidRPr="005C158A">
        <w:rPr>
          <w:rFonts w:ascii="Arial" w:hAnsi="Arial" w:cs="Arial"/>
          <w:sz w:val="20"/>
          <w:szCs w:val="20"/>
        </w:rPr>
        <w:t>prawach wspólnika albo akcjonariusza do udziału albo akcji objętych wspólnością większy niż 7</w:t>
      </w:r>
      <w:r w:rsidR="00267DAA" w:rsidRPr="005C158A">
        <w:rPr>
          <w:rFonts w:ascii="Arial" w:hAnsi="Arial" w:cs="Arial"/>
          <w:sz w:val="20"/>
          <w:szCs w:val="20"/>
        </w:rPr>
        <w:t>5</w:t>
      </w:r>
      <w:r w:rsidRPr="005C158A">
        <w:rPr>
          <w:rFonts w:ascii="Arial" w:hAnsi="Arial" w:cs="Arial"/>
          <w:sz w:val="20"/>
          <w:szCs w:val="20"/>
        </w:rPr>
        <w:t>/100.</w:t>
      </w:r>
    </w:p>
    <w:p w14:paraId="508C45DF"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W przypadku gdy nie zostało wydane prawomocne postanowienie o stwierdzeniu nabycia spadku, nie został zarejestrowany akt poświadczenia dziedziczenia ani nie zostało wydane europejskie poświadczenie spadkowe, wielkość udziałów w udziale albo akcji ustala się przy uwzględnieniu wszystkich znanych osobie powołującej wspólnego przedstawiciela osób, którym w chwili powołania albo odwołania wspólnego przedstawiciela przysługuje udział w udziale albo akcji.</w:t>
      </w:r>
    </w:p>
    <w:p w14:paraId="63C99C87" w14:textId="4387ABAB" w:rsidR="00267DAA" w:rsidRPr="005C158A" w:rsidRDefault="00F81906" w:rsidP="00267DAA">
      <w:pPr>
        <w:spacing w:before="120" w:after="120" w:line="360" w:lineRule="auto"/>
        <w:jc w:val="both"/>
        <w:rPr>
          <w:rFonts w:ascii="Arial" w:hAnsi="Arial" w:cs="Arial"/>
          <w:sz w:val="20"/>
          <w:szCs w:val="20"/>
        </w:rPr>
      </w:pPr>
      <w:r w:rsidRPr="005C158A">
        <w:rPr>
          <w:rFonts w:ascii="Arial" w:hAnsi="Arial" w:cs="Arial"/>
          <w:sz w:val="20"/>
          <w:szCs w:val="20"/>
        </w:rPr>
        <w:t>Brak jednomyślności co do osoby wspólnego przedstawiciela mógłby uniemożliwiać wykonywanie praw w spółce, ze szkodą dla wszystkich uprawnionych, zwłaszcza, że prawa w spółce mogą być podstawowym źródłem ich utrzymania. Dlatego proponuje się wprowadzenie rozwiązania pozwalającego na podjęcie decyzji o wspólnym przedstawicielu, nawet przy braku jednomyślności. Przy tym próg 7</w:t>
      </w:r>
      <w:r w:rsidR="00267DAA" w:rsidRPr="005C158A">
        <w:rPr>
          <w:rFonts w:ascii="Arial" w:hAnsi="Arial" w:cs="Arial"/>
          <w:sz w:val="20"/>
          <w:szCs w:val="20"/>
        </w:rPr>
        <w:t>5</w:t>
      </w:r>
      <w:r w:rsidRPr="005C158A">
        <w:rPr>
          <w:rFonts w:ascii="Arial" w:hAnsi="Arial" w:cs="Arial"/>
          <w:sz w:val="20"/>
          <w:szCs w:val="20"/>
        </w:rPr>
        <w:t>/100 wydaje się zabezpieczać realizację woli większości współuprawnionych i zapewnić ochronę praw mniejszości.</w:t>
      </w:r>
      <w:r w:rsidR="00267DAA" w:rsidRPr="005C158A">
        <w:rPr>
          <w:rFonts w:ascii="Arial" w:hAnsi="Arial" w:cs="Arial"/>
          <w:sz w:val="20"/>
          <w:szCs w:val="20"/>
        </w:rPr>
        <w:t xml:space="preserve"> Do odwołania wspólnego przedstawiciela będzie wymagana zgoda osób, którym łącznie przysługuje udział w prawach wspólnika albo akcjonariusza do udziału albo akcji objętych wspólnością większy niż 1/2.</w:t>
      </w:r>
    </w:p>
    <w:p w14:paraId="38504F66" w14:textId="13A3A611" w:rsidR="000D0784" w:rsidRPr="005C158A" w:rsidRDefault="00F81906" w:rsidP="000D0784">
      <w:pPr>
        <w:spacing w:before="120" w:after="120" w:line="360" w:lineRule="auto"/>
        <w:jc w:val="both"/>
        <w:rPr>
          <w:rFonts w:ascii="Arial" w:hAnsi="Arial" w:cs="Arial"/>
          <w:sz w:val="20"/>
          <w:szCs w:val="20"/>
        </w:rPr>
      </w:pPr>
      <w:bookmarkStart w:id="49" w:name="mip57536731"/>
      <w:bookmarkEnd w:id="49"/>
      <w:r w:rsidRPr="005C158A">
        <w:rPr>
          <w:rFonts w:ascii="Arial" w:hAnsi="Arial" w:cs="Arial"/>
          <w:sz w:val="20"/>
          <w:szCs w:val="20"/>
        </w:rPr>
        <w:t>Powołanie wspólnego przedstawiciela albo jego odwołanie albo wyrażenie zgody na jego powołanie albo odwołanie przez przedstawiciela ustawowego osoby, która nie ma zdolności do czynności prawnych albo której zdolność do czynności prawnych jest ograniczona, nie wymaga zezwolenia sądu opiekuńczego. Przy czynnościach, o których mowa w zdaniu poprzedzającym, dziecko pozostające pod władzą rodzicielską może być reprezentowane przez rodzica, a osoba pozostająca pod opieką – przez opiekuna. Przepisów art. 98 § 2 i art. 159 § 1 Kodeksu rodzinnego i opiekuńczego nie stosuje się.</w:t>
      </w:r>
      <w:r w:rsidR="000D0784" w:rsidRPr="005C158A">
        <w:rPr>
          <w:rFonts w:ascii="Arial" w:hAnsi="Arial" w:cs="Arial"/>
          <w:sz w:val="20"/>
          <w:szCs w:val="20"/>
        </w:rPr>
        <w:t xml:space="preserve"> Jednocześnie sąd opiekuńczy ogranicza wspólnemu przedstawicielowi zarząd majątkiem  osoby, która </w:t>
      </w:r>
      <w:r w:rsidR="000D0784" w:rsidRPr="005C158A">
        <w:rPr>
          <w:rFonts w:ascii="Arial" w:hAnsi="Arial" w:cs="Arial"/>
          <w:sz w:val="20"/>
          <w:szCs w:val="20"/>
        </w:rPr>
        <w:lastRenderedPageBreak/>
        <w:t>nie ma zdolności do czynności prawnych albo której zdolność do czynności prawnych jest ograniczona, jeżeli jest to niezbędne dla zapewnienia prawidłowego sprawowania zarządu majątkiem tej osoby. Sąd opiekuńczy określa, jakie czynności w zakresie zarządu majątkiem osoby, która nie ma zdolności do czynności prawnych albo której zdolność do czynności prawnych jest ograniczona, nie mogą być przez wspólnego przedstawiciela dokonywane bez zezwolenia sądu albo poddaje wspólnego przedstawiciela innym ograniczeniom, jakim podlega opiekun. Analogiczne rozwiązanie obowiązuje w zarządzie sukcesyjnym.</w:t>
      </w:r>
    </w:p>
    <w:p w14:paraId="27136821" w14:textId="1255F16A" w:rsidR="00F81906" w:rsidRPr="005C158A" w:rsidRDefault="00F81906" w:rsidP="00401710">
      <w:pPr>
        <w:spacing w:before="120" w:after="120" w:line="360" w:lineRule="auto"/>
        <w:jc w:val="both"/>
        <w:rPr>
          <w:rFonts w:ascii="Arial" w:hAnsi="Arial" w:cs="Arial"/>
          <w:sz w:val="20"/>
          <w:szCs w:val="20"/>
        </w:rPr>
      </w:pPr>
      <w:bookmarkStart w:id="50" w:name="mip57536732"/>
      <w:bookmarkEnd w:id="50"/>
      <w:r w:rsidRPr="005C158A">
        <w:rPr>
          <w:rFonts w:ascii="Arial" w:hAnsi="Arial" w:cs="Arial"/>
          <w:sz w:val="20"/>
          <w:szCs w:val="20"/>
        </w:rPr>
        <w:t>Osoba uprawniona do powołania albo odwołania wspólnego przedstawiciela albo wyrażenia zgody na jego powołanie albo odwołanie składa przed notariuszem oświadczenie o przysługującym jej udziale w</w:t>
      </w:r>
      <w:r w:rsidR="00295358" w:rsidRPr="005C158A">
        <w:rPr>
          <w:rFonts w:ascii="Arial" w:hAnsi="Arial" w:cs="Arial"/>
          <w:sz w:val="20"/>
          <w:szCs w:val="20"/>
        </w:rPr>
        <w:t> </w:t>
      </w:r>
      <w:r w:rsidRPr="005C158A">
        <w:rPr>
          <w:rFonts w:ascii="Arial" w:hAnsi="Arial" w:cs="Arial"/>
          <w:sz w:val="20"/>
          <w:szCs w:val="20"/>
        </w:rPr>
        <w:t>udziale albo akcji oraz znanych jej innych osobach, którym przysługuje udział w prawach wspólnika albo akcjonariusza do udziału albo akcji objętych wspólnością, oraz oświadczenia o:</w:t>
      </w:r>
    </w:p>
    <w:p w14:paraId="2E8E85E4" w14:textId="6F0EA7C2" w:rsidR="00F81906" w:rsidRPr="005C158A" w:rsidRDefault="00F81906" w:rsidP="0011422D">
      <w:pPr>
        <w:pStyle w:val="Akapitzlist"/>
        <w:numPr>
          <w:ilvl w:val="0"/>
          <w:numId w:val="40"/>
        </w:numPr>
        <w:spacing w:before="120" w:after="120" w:line="360" w:lineRule="auto"/>
        <w:ind w:left="0" w:hanging="11"/>
        <w:jc w:val="both"/>
        <w:rPr>
          <w:rFonts w:ascii="Arial" w:hAnsi="Arial" w:cs="Arial"/>
          <w:sz w:val="20"/>
          <w:szCs w:val="20"/>
        </w:rPr>
      </w:pPr>
      <w:bookmarkStart w:id="51" w:name="mip57536734"/>
      <w:bookmarkEnd w:id="51"/>
      <w:r w:rsidRPr="005C158A">
        <w:rPr>
          <w:rFonts w:ascii="Arial" w:hAnsi="Arial" w:cs="Arial"/>
          <w:sz w:val="20"/>
          <w:szCs w:val="20"/>
        </w:rPr>
        <w:t>istnieniu lub nieistnieniu osób, które wyłączałyby znanych spadkobierców od dziedziczenia lub dziedziczyłyby wraz z nimi,</w:t>
      </w:r>
    </w:p>
    <w:p w14:paraId="2CB355BE" w14:textId="20469DB0" w:rsidR="00F81906" w:rsidRPr="005C158A" w:rsidRDefault="00F81906" w:rsidP="0011422D">
      <w:pPr>
        <w:pStyle w:val="Akapitzlist"/>
        <w:numPr>
          <w:ilvl w:val="0"/>
          <w:numId w:val="40"/>
        </w:numPr>
        <w:spacing w:before="120" w:after="120" w:line="360" w:lineRule="auto"/>
        <w:ind w:left="0" w:hanging="11"/>
        <w:jc w:val="both"/>
        <w:rPr>
          <w:rFonts w:ascii="Arial" w:hAnsi="Arial" w:cs="Arial"/>
          <w:sz w:val="20"/>
          <w:szCs w:val="20"/>
        </w:rPr>
      </w:pPr>
      <w:bookmarkStart w:id="52" w:name="mip57536735"/>
      <w:bookmarkEnd w:id="52"/>
      <w:r w:rsidRPr="005C158A">
        <w:rPr>
          <w:rFonts w:ascii="Arial" w:hAnsi="Arial" w:cs="Arial"/>
          <w:sz w:val="20"/>
          <w:szCs w:val="20"/>
        </w:rPr>
        <w:t>znanych testamentach spadkodawcy lub braku takich testamentów</w:t>
      </w:r>
    </w:p>
    <w:p w14:paraId="76ED32A9" w14:textId="77777777" w:rsidR="00F81906" w:rsidRPr="005C158A" w:rsidRDefault="00F81906" w:rsidP="00401710">
      <w:pPr>
        <w:spacing w:before="120" w:after="120" w:line="360" w:lineRule="auto"/>
        <w:jc w:val="both"/>
        <w:rPr>
          <w:rFonts w:ascii="Arial" w:hAnsi="Arial" w:cs="Arial"/>
          <w:sz w:val="20"/>
          <w:szCs w:val="20"/>
        </w:rPr>
      </w:pPr>
      <w:bookmarkStart w:id="53" w:name="mip57536736"/>
      <w:bookmarkEnd w:id="53"/>
      <w:r w:rsidRPr="005C158A">
        <w:rPr>
          <w:rFonts w:ascii="Arial" w:hAnsi="Arial" w:cs="Arial"/>
          <w:sz w:val="20"/>
          <w:szCs w:val="20"/>
        </w:rPr>
        <w:t>- pod rygorem odpowiedzialności karnej za złożenie fałszywego oświadczenia.</w:t>
      </w:r>
    </w:p>
    <w:p w14:paraId="04BD7908" w14:textId="77777777" w:rsidR="00F81906" w:rsidRPr="005C158A" w:rsidRDefault="00F81906" w:rsidP="00401710">
      <w:pPr>
        <w:spacing w:before="120" w:after="120" w:line="360" w:lineRule="auto"/>
        <w:jc w:val="both"/>
        <w:rPr>
          <w:rFonts w:ascii="Arial" w:hAnsi="Arial" w:cs="Arial"/>
          <w:sz w:val="20"/>
          <w:szCs w:val="20"/>
        </w:rPr>
      </w:pPr>
      <w:bookmarkStart w:id="54" w:name="mip57536737"/>
      <w:bookmarkEnd w:id="54"/>
      <w:r w:rsidRPr="005C158A">
        <w:rPr>
          <w:rFonts w:ascii="Arial" w:hAnsi="Arial" w:cs="Arial"/>
          <w:sz w:val="20"/>
          <w:szCs w:val="20"/>
        </w:rPr>
        <w:t>Powołanie wspólnego przedstawiciela w przypadku śmierci wspólnika albo akcjonariusza oraz zgoda na jego powołanie wymaga zachowania formy aktu notarialnego.</w:t>
      </w:r>
    </w:p>
    <w:p w14:paraId="73D8D04A" w14:textId="501C251B"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Po uprawomocnieniu się postanowienia o stwierdzeniu nabycia spadku, zarejestrowaniu aktu poświadczenia dziedziczenia albo wydaniu europejskiego poświadczenia spadkowego, do powołania wspólnego przedstawiciela albo jego odwołania forma aktu notarialnego nie jest wymagana, jeżeli wszyscy uprawnieni wyrazili w formie pisemnej zgodę na jego powołanie albo odwołanie.</w:t>
      </w:r>
    </w:p>
    <w:p w14:paraId="5FBBA369" w14:textId="789F81F5"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Każda </w:t>
      </w:r>
      <w:r w:rsidR="007D081B" w:rsidRPr="005C158A">
        <w:rPr>
          <w:rFonts w:ascii="Arial" w:hAnsi="Arial" w:cs="Arial"/>
          <w:sz w:val="20"/>
          <w:szCs w:val="20"/>
        </w:rPr>
        <w:t xml:space="preserve">z </w:t>
      </w:r>
      <w:r w:rsidRPr="005C158A">
        <w:rPr>
          <w:rFonts w:ascii="Arial" w:hAnsi="Arial" w:cs="Arial"/>
          <w:sz w:val="20"/>
          <w:szCs w:val="20"/>
        </w:rPr>
        <w:t>osób uprawnionych do powołania wspólnego przedstawiciela po śmierci wspólnika (akcjonariusza) będzie mogła wystąpić do sądu o wyznaczenie wspólnego przedstawiciela, jeżeli nie można wyznaczyć albo powołać wspólnego przedstawiciela w inny sposób.</w:t>
      </w:r>
    </w:p>
    <w:p w14:paraId="3C78EF27" w14:textId="7102B46A"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Uprawnienie do powołania wspólnego przedstawiciela (pierwszego i kolejnego) albo żądania wyznaczenia wspólnego przedstawiciela przez sąd nie wygasa, dopóki prawa w spółce przysługują więcej niż jednej osobie. Wspólny przedstawiciel może zrezygnować z pełnienia tej funkcji, składając oświadczenie w formie pisemnej pod rygorem nieważności. Oświadczenie o rezygnacji wspólny przedstawiciel będzie składał osobie, która go powołała, a w przypadku, gdy wspólny przedstawiciel został powołany w umowie albo statucie spółki lub w przypadku braku osoby, która go powoła</w:t>
      </w:r>
      <w:r w:rsidR="007D081B" w:rsidRPr="005C158A">
        <w:rPr>
          <w:rFonts w:ascii="Arial" w:hAnsi="Arial" w:cs="Arial"/>
          <w:sz w:val="20"/>
          <w:szCs w:val="20"/>
        </w:rPr>
        <w:t>ła</w:t>
      </w:r>
      <w:r w:rsidRPr="005C158A">
        <w:rPr>
          <w:rFonts w:ascii="Arial" w:hAnsi="Arial" w:cs="Arial"/>
          <w:sz w:val="20"/>
          <w:szCs w:val="20"/>
        </w:rPr>
        <w:t xml:space="preserve"> - osobie uprawnionej do powołania wspólnego przedstawiciela. Po złożeniu rezygnacji wspólny przedstawiciel jest obowiązany działać jeszcze przez dwa tygodnie, chyba że wcześniej zostanie powołany kolejny wspólny przedstawiciel.</w:t>
      </w:r>
    </w:p>
    <w:p w14:paraId="067B7640" w14:textId="5DC3050F"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O powołaniu, odwołaniu albo rezygnacji wspólnego przedstawiciela należy niezwłocznie powiadomić spółkę w formie pisemnej pod rygorem bezskuteczności wobec spółki. Zawiadomienie o powołaniu i</w:t>
      </w:r>
      <w:r w:rsidR="00295358" w:rsidRPr="005C158A">
        <w:rPr>
          <w:rFonts w:ascii="Arial" w:hAnsi="Arial" w:cs="Arial"/>
          <w:sz w:val="20"/>
          <w:szCs w:val="20"/>
        </w:rPr>
        <w:t> </w:t>
      </w:r>
      <w:r w:rsidRPr="005C158A">
        <w:rPr>
          <w:rFonts w:ascii="Arial" w:hAnsi="Arial" w:cs="Arial"/>
          <w:sz w:val="20"/>
          <w:szCs w:val="20"/>
        </w:rPr>
        <w:t>odwołaniu będzie co do zasady ciążyć na wspólniku (akcjonariuszu).</w:t>
      </w:r>
      <w:bookmarkStart w:id="55" w:name="_Hlk126829218"/>
      <w:r w:rsidRPr="005C158A">
        <w:rPr>
          <w:rFonts w:ascii="Arial" w:hAnsi="Arial" w:cs="Arial"/>
          <w:sz w:val="20"/>
          <w:szCs w:val="20"/>
        </w:rPr>
        <w:t xml:space="preserve"> Wspólny przedstawiciel będzie zawiadamiał o swojej rezygnacji oraz o powołaniu i odwołaniu, jeśli zdarzenia te nastąpiły po śmierci wspólnika (akcjonariusza)</w:t>
      </w:r>
      <w:bookmarkEnd w:id="55"/>
      <w:r w:rsidRPr="005C158A">
        <w:rPr>
          <w:rFonts w:ascii="Arial" w:hAnsi="Arial" w:cs="Arial"/>
          <w:sz w:val="20"/>
          <w:szCs w:val="20"/>
        </w:rPr>
        <w:t xml:space="preserve">. Jeżeli zawiadomienie spółki nie będzie niemożliwe z powodu braku organu </w:t>
      </w:r>
      <w:r w:rsidRPr="005C158A">
        <w:rPr>
          <w:rFonts w:ascii="Arial" w:hAnsi="Arial" w:cs="Arial"/>
          <w:sz w:val="20"/>
          <w:szCs w:val="20"/>
        </w:rPr>
        <w:lastRenderedPageBreak/>
        <w:t>albo braku w składzie organu uprawnionego do jej reprezentowania, wspólny przedstawiciel dokona zawiadomienia wobec pozostałych wspólników, a w przypadku spółki akcyjnej - wobec rady nadzorczej. W przypadku spółki jednoosobowej zawiadomienie spółki zastępuje powołanie albo odwołanie wspólnego przedstawiciela. Zawiadomienie składa się do akt spółki.</w:t>
      </w:r>
    </w:p>
    <w:p w14:paraId="497428E0" w14:textId="39DF196B"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Wspólny przedstawiciel powinien mieć dostęp do listy wspólników, </w:t>
      </w:r>
      <w:r w:rsidR="000D0784" w:rsidRPr="005C158A">
        <w:rPr>
          <w:rFonts w:ascii="Arial" w:hAnsi="Arial" w:cs="Arial"/>
          <w:sz w:val="20"/>
          <w:szCs w:val="20"/>
        </w:rPr>
        <w:t xml:space="preserve">listy akcjonariuszy, </w:t>
      </w:r>
      <w:r w:rsidRPr="005C158A">
        <w:rPr>
          <w:rFonts w:ascii="Arial" w:hAnsi="Arial" w:cs="Arial"/>
          <w:sz w:val="20"/>
          <w:szCs w:val="20"/>
        </w:rPr>
        <w:t xml:space="preserve">księgi udziałów albo </w:t>
      </w:r>
      <w:r w:rsidR="000D0784" w:rsidRPr="005C158A">
        <w:rPr>
          <w:rFonts w:ascii="Arial" w:hAnsi="Arial" w:cs="Arial"/>
          <w:sz w:val="20"/>
          <w:szCs w:val="20"/>
        </w:rPr>
        <w:t>rejestru akcjonariuszy</w:t>
      </w:r>
      <w:r w:rsidRPr="005C158A">
        <w:rPr>
          <w:rFonts w:ascii="Arial" w:hAnsi="Arial" w:cs="Arial"/>
          <w:sz w:val="20"/>
          <w:szCs w:val="20"/>
        </w:rPr>
        <w:t>. Uprawnienia tego nie można wyłączyć w umowie albo statucie spółki, ponieważ wspólny przedstawiciel jest umocowany do wykonywania praw wspólnika albo akcjonariusza w stosunkach wspólnik (akcjonariusz) – spółka.</w:t>
      </w:r>
    </w:p>
    <w:p w14:paraId="2506C704" w14:textId="77777777" w:rsidR="00F81906" w:rsidRPr="005C158A" w:rsidRDefault="00F81906" w:rsidP="00401710">
      <w:pPr>
        <w:spacing w:before="120" w:after="120" w:line="360" w:lineRule="auto"/>
        <w:jc w:val="both"/>
        <w:rPr>
          <w:rFonts w:ascii="Arial" w:hAnsi="Arial" w:cs="Arial"/>
          <w:sz w:val="20"/>
          <w:szCs w:val="20"/>
        </w:rPr>
      </w:pPr>
      <w:r w:rsidRPr="005C158A">
        <w:rPr>
          <w:rFonts w:ascii="Arial" w:hAnsi="Arial" w:cs="Arial"/>
          <w:sz w:val="20"/>
          <w:szCs w:val="20"/>
        </w:rPr>
        <w:t>Umocowanie wspólnego przedstawiciela wygaśnie z:</w:t>
      </w:r>
    </w:p>
    <w:p w14:paraId="100DA2B9" w14:textId="77777777" w:rsidR="00F81906" w:rsidRPr="005C158A" w:rsidRDefault="00F81906" w:rsidP="00DC6DF4">
      <w:pPr>
        <w:pStyle w:val="Akapitzlist"/>
        <w:numPr>
          <w:ilvl w:val="0"/>
          <w:numId w:val="14"/>
        </w:numPr>
        <w:spacing w:before="120" w:after="120" w:line="360" w:lineRule="auto"/>
        <w:ind w:left="0" w:firstLine="0"/>
        <w:jc w:val="both"/>
        <w:rPr>
          <w:rFonts w:ascii="Arial" w:hAnsi="Arial" w:cs="Arial"/>
          <w:sz w:val="20"/>
          <w:szCs w:val="20"/>
        </w:rPr>
      </w:pPr>
      <w:r w:rsidRPr="005C158A">
        <w:rPr>
          <w:rFonts w:ascii="Arial" w:hAnsi="Arial" w:cs="Arial"/>
          <w:sz w:val="20"/>
          <w:szCs w:val="20"/>
        </w:rPr>
        <w:t>dniem jego śmierci;</w:t>
      </w:r>
    </w:p>
    <w:p w14:paraId="76284482" w14:textId="77777777" w:rsidR="00F81906" w:rsidRPr="005C158A" w:rsidRDefault="00F81906" w:rsidP="00DC6DF4">
      <w:pPr>
        <w:pStyle w:val="Akapitzlist"/>
        <w:numPr>
          <w:ilvl w:val="0"/>
          <w:numId w:val="13"/>
        </w:numPr>
        <w:spacing w:before="120" w:after="120" w:line="360" w:lineRule="auto"/>
        <w:ind w:left="0" w:firstLine="0"/>
        <w:jc w:val="both"/>
        <w:rPr>
          <w:rFonts w:ascii="Arial" w:hAnsi="Arial" w:cs="Arial"/>
          <w:sz w:val="20"/>
          <w:szCs w:val="20"/>
        </w:rPr>
      </w:pPr>
      <w:r w:rsidRPr="005C158A">
        <w:rPr>
          <w:rFonts w:ascii="Arial" w:hAnsi="Arial" w:cs="Arial"/>
          <w:sz w:val="20"/>
          <w:szCs w:val="20"/>
        </w:rPr>
        <w:t>dniem ograniczenia lub utraty zdolności do czynności prawnych;</w:t>
      </w:r>
    </w:p>
    <w:p w14:paraId="01D91D00" w14:textId="77777777" w:rsidR="00F81906" w:rsidRPr="005C158A" w:rsidRDefault="00F81906" w:rsidP="00DC6DF4">
      <w:pPr>
        <w:pStyle w:val="Akapitzlist"/>
        <w:numPr>
          <w:ilvl w:val="0"/>
          <w:numId w:val="13"/>
        </w:numPr>
        <w:spacing w:before="120" w:after="120" w:line="360" w:lineRule="auto"/>
        <w:ind w:left="0" w:firstLine="0"/>
        <w:jc w:val="both"/>
        <w:rPr>
          <w:rFonts w:ascii="Arial" w:hAnsi="Arial" w:cs="Arial"/>
          <w:sz w:val="20"/>
          <w:szCs w:val="20"/>
        </w:rPr>
      </w:pPr>
      <w:r w:rsidRPr="005C158A">
        <w:rPr>
          <w:rFonts w:ascii="Arial" w:hAnsi="Arial" w:cs="Arial"/>
          <w:sz w:val="20"/>
          <w:szCs w:val="20"/>
        </w:rPr>
        <w:t>chwilą odwołania;</w:t>
      </w:r>
    </w:p>
    <w:p w14:paraId="013A4087" w14:textId="77777777" w:rsidR="00F81906" w:rsidRPr="005C158A" w:rsidRDefault="00F81906" w:rsidP="00DC6DF4">
      <w:pPr>
        <w:pStyle w:val="Akapitzlist"/>
        <w:numPr>
          <w:ilvl w:val="0"/>
          <w:numId w:val="13"/>
        </w:numPr>
        <w:spacing w:before="120" w:after="120" w:line="360" w:lineRule="auto"/>
        <w:ind w:left="0" w:firstLine="0"/>
        <w:jc w:val="both"/>
        <w:rPr>
          <w:rFonts w:ascii="Arial" w:hAnsi="Arial" w:cs="Arial"/>
          <w:sz w:val="20"/>
          <w:szCs w:val="20"/>
        </w:rPr>
      </w:pPr>
      <w:r w:rsidRPr="005C158A">
        <w:rPr>
          <w:rFonts w:ascii="Arial" w:hAnsi="Arial" w:cs="Arial"/>
          <w:sz w:val="20"/>
          <w:szCs w:val="20"/>
        </w:rPr>
        <w:t>upływem terminu dwóch tygodni od dnia rezygnacji, a jeżeli wcześniej powołano kolejnego wspólnego przedstawiciela – z chwilą powołania kolejnego wspólnego przedstawiciela;</w:t>
      </w:r>
    </w:p>
    <w:p w14:paraId="32CA1F03" w14:textId="77777777" w:rsidR="00F81906" w:rsidRPr="005C158A" w:rsidRDefault="00F81906" w:rsidP="00DC6DF4">
      <w:pPr>
        <w:pStyle w:val="Akapitzlist"/>
        <w:numPr>
          <w:ilvl w:val="0"/>
          <w:numId w:val="13"/>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dniem uprawomocnienia się postanowienia o stwierdzeniu nabycia spadku, zarejestrowania aktu poświadczenia dziedziczenia albo wydania europejskiego poświadczenia spadkowego, </w:t>
      </w:r>
      <w:bookmarkStart w:id="56" w:name="_Hlk126842333"/>
      <w:r w:rsidRPr="005C158A">
        <w:rPr>
          <w:rFonts w:ascii="Arial" w:hAnsi="Arial" w:cs="Arial"/>
          <w:sz w:val="20"/>
          <w:szCs w:val="20"/>
        </w:rPr>
        <w:t>jeżeli prawa wspólnika albo akcjonariusza nabył jeden spadkobierca albo zapisobierca windykacyjny;</w:t>
      </w:r>
      <w:bookmarkEnd w:id="56"/>
    </w:p>
    <w:p w14:paraId="28517584" w14:textId="77777777" w:rsidR="000D0784" w:rsidRPr="005C158A" w:rsidRDefault="00F81906" w:rsidP="00DC6DF4">
      <w:pPr>
        <w:pStyle w:val="Akapitzlist"/>
        <w:numPr>
          <w:ilvl w:val="0"/>
          <w:numId w:val="13"/>
        </w:numPr>
        <w:spacing w:before="120" w:after="120" w:line="360" w:lineRule="auto"/>
        <w:ind w:left="0" w:firstLine="0"/>
        <w:jc w:val="both"/>
        <w:rPr>
          <w:rFonts w:ascii="Arial" w:hAnsi="Arial" w:cs="Arial"/>
          <w:sz w:val="20"/>
          <w:szCs w:val="20"/>
        </w:rPr>
      </w:pPr>
      <w:r w:rsidRPr="005C158A">
        <w:rPr>
          <w:rFonts w:ascii="Arial" w:hAnsi="Arial" w:cs="Arial"/>
          <w:sz w:val="20"/>
          <w:szCs w:val="20"/>
        </w:rPr>
        <w:t>dniem nabycia po śmierci wspólnika albo akcjonariusza jego praw w spółce w całości przez jedną osobę</w:t>
      </w:r>
      <w:r w:rsidR="000D0784" w:rsidRPr="005C158A">
        <w:rPr>
          <w:rFonts w:ascii="Arial" w:hAnsi="Arial" w:cs="Arial"/>
          <w:sz w:val="20"/>
          <w:szCs w:val="20"/>
        </w:rPr>
        <w:t>;</w:t>
      </w:r>
    </w:p>
    <w:p w14:paraId="0F1487C2" w14:textId="16081D21" w:rsidR="00F81906" w:rsidRPr="005C158A" w:rsidRDefault="000D0784" w:rsidP="000D0784">
      <w:pPr>
        <w:pStyle w:val="Akapitzlist"/>
        <w:numPr>
          <w:ilvl w:val="0"/>
          <w:numId w:val="13"/>
        </w:numPr>
        <w:spacing w:before="120" w:after="120" w:line="360" w:lineRule="auto"/>
        <w:ind w:left="0" w:firstLine="0"/>
        <w:jc w:val="both"/>
        <w:rPr>
          <w:rFonts w:ascii="Arial" w:hAnsi="Arial" w:cs="Arial"/>
          <w:sz w:val="20"/>
          <w:szCs w:val="20"/>
        </w:rPr>
      </w:pPr>
      <w:r w:rsidRPr="005C158A">
        <w:rPr>
          <w:rFonts w:ascii="Arial" w:hAnsi="Arial" w:cs="Arial"/>
          <w:sz w:val="20"/>
          <w:szCs w:val="20"/>
        </w:rPr>
        <w:t>dniem zmiany umowy spółki i wstąpienia współuprawnionych jako wspólników albo akcjonariuszy do spółki</w:t>
      </w:r>
      <w:r w:rsidR="00F81906" w:rsidRPr="005C158A">
        <w:rPr>
          <w:rFonts w:ascii="Arial" w:hAnsi="Arial" w:cs="Arial"/>
          <w:sz w:val="20"/>
          <w:szCs w:val="20"/>
        </w:rPr>
        <w:t>.</w:t>
      </w:r>
    </w:p>
    <w:p w14:paraId="298E6FD1" w14:textId="3ECE78D6" w:rsidR="00224159" w:rsidRPr="005C158A" w:rsidRDefault="00224159" w:rsidP="00224159">
      <w:pPr>
        <w:pStyle w:val="Nagwek2"/>
        <w:spacing w:before="120" w:after="120" w:line="360" w:lineRule="auto"/>
        <w:jc w:val="both"/>
        <w:rPr>
          <w:rFonts w:ascii="Arial" w:hAnsi="Arial" w:cs="Arial"/>
          <w:color w:val="auto"/>
          <w:sz w:val="20"/>
          <w:szCs w:val="20"/>
        </w:rPr>
      </w:pPr>
      <w:bookmarkStart w:id="57" w:name="_Toc138329765"/>
      <w:r w:rsidRPr="005C158A">
        <w:rPr>
          <w:rFonts w:ascii="Arial" w:hAnsi="Arial" w:cs="Arial"/>
          <w:color w:val="auto"/>
          <w:sz w:val="20"/>
          <w:szCs w:val="20"/>
        </w:rPr>
        <w:t>Ustawa z dnia 29 listopada 2000 r. o obrocie z zagranicą towarami, technologiami i usługami o znaczeniu strategicznym dla bezpieczeństwa państwa, a także dla utrzymania międzynarodowego pokoju i bezpieczeństwa</w:t>
      </w:r>
      <w:bookmarkEnd w:id="57"/>
    </w:p>
    <w:p w14:paraId="4B4DFBBF" w14:textId="5F12D530"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Zmiana ustawy o obrocie z zagranicą towarami, technologiami i usługami o znaczeniu strategicznym dla bezpieczeństwa państwa, a także dla utrzymania międzynarodowego pokoju i bezpieczeństwa,</w:t>
      </w:r>
      <w:r w:rsidR="00A52500" w:rsidRPr="005C158A">
        <w:rPr>
          <w:rFonts w:ascii="Arial" w:hAnsi="Arial" w:cs="Arial"/>
          <w:sz w:val="20"/>
          <w:szCs w:val="20"/>
        </w:rPr>
        <w:t xml:space="preserve"> zwana</w:t>
      </w:r>
      <w:r w:rsidRPr="005C158A">
        <w:rPr>
          <w:rFonts w:ascii="Arial" w:hAnsi="Arial" w:cs="Arial"/>
          <w:sz w:val="20"/>
          <w:szCs w:val="20"/>
        </w:rPr>
        <w:t xml:space="preserve"> dalej „ustawa o obrocie” wynika z konieczności zmiany obowiązujących przepisów w sposób umożliwiający wdrożenie systemu teleinformatycznego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wspierającego procesy licencjonowania </w:t>
      </w:r>
      <w:bookmarkStart w:id="58" w:name="_Hlk131583147"/>
      <w:r w:rsidRPr="005C158A">
        <w:rPr>
          <w:rFonts w:ascii="Arial" w:hAnsi="Arial" w:cs="Arial"/>
          <w:sz w:val="20"/>
          <w:szCs w:val="20"/>
        </w:rPr>
        <w:t>obrotu z zagranicą towarami, technologiami i usługami o znaczeniu strategicznym (uzbrojenie i produkty podwójnego zastosowania)</w:t>
      </w:r>
      <w:bookmarkEnd w:id="58"/>
      <w:r w:rsidRPr="005C158A">
        <w:rPr>
          <w:rFonts w:ascii="Arial" w:hAnsi="Arial" w:cs="Arial"/>
          <w:sz w:val="20"/>
          <w:szCs w:val="20"/>
        </w:rPr>
        <w:t xml:space="preserve">. Planowane uruchomienie systemu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ma nastąpić na początku 2024 r. System umożliwi także prowadzenie rejestru  wydanych zezwoleń na obrót  z zagranicą towarami o znaczeniu strategicznym, certyfikatów importowych, poświadczeń oświadczenia końcowego użytkownika oraz podmiotów korzystających z zezwoleń generalnych. Jednym z istotnych celów nowego systemu jest poprawienie dostępności, funkcjonalności oraz e-dojrzałości usług publicznych tj. umożliwienie przedsiębiorcom korzystania z e-usługi zamiast papierowego obiegu dokumentów przy wydawaniu decyzji administracyjnych związanych z prowadzeniem obrotu z zagranicą towarami o znaczeniu strategicznym.</w:t>
      </w:r>
    </w:p>
    <w:p w14:paraId="1AED107E" w14:textId="0F74E632"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lastRenderedPageBreak/>
        <w:t>W art. 9 obowiązującej ustawy dodany został ust. 1a-1c, które określa w jaki sposób następuje złożenie wniosku o wydanie zezwolenia na obrót towarami o znaczeniu strategicznym. Wniosek o zezwolenie składa się w postaci papierowej, opatrzony własnoręcznym podpisem podmiotu, o którym mowa w ust.</w:t>
      </w:r>
      <w:r w:rsidR="00A52500" w:rsidRPr="005C158A">
        <w:rPr>
          <w:rFonts w:ascii="Arial" w:hAnsi="Arial" w:cs="Arial"/>
          <w:sz w:val="20"/>
          <w:szCs w:val="20"/>
        </w:rPr>
        <w:t> </w:t>
      </w:r>
      <w:r w:rsidRPr="005C158A">
        <w:rPr>
          <w:rFonts w:ascii="Arial" w:hAnsi="Arial" w:cs="Arial"/>
          <w:sz w:val="20"/>
          <w:szCs w:val="20"/>
        </w:rPr>
        <w:t xml:space="preserve">1, zwanego dalej „wnioskodawcą”, albo w postaci elektronicznej, opatrzony kwalifikowanym podpisem elektronicznym, podpisem zaufanym albo podpisem osobistym wnioskodawcy. </w:t>
      </w:r>
    </w:p>
    <w:p w14:paraId="018E8185" w14:textId="77777777" w:rsidR="00F84C06" w:rsidRDefault="00224159" w:rsidP="00F84C06">
      <w:pPr>
        <w:spacing w:before="120" w:after="120" w:line="360" w:lineRule="auto"/>
        <w:jc w:val="both"/>
        <w:rPr>
          <w:rFonts w:ascii="Arial" w:hAnsi="Arial" w:cs="Arial"/>
          <w:sz w:val="20"/>
          <w:szCs w:val="20"/>
        </w:rPr>
      </w:pPr>
      <w:r w:rsidRPr="005C158A">
        <w:rPr>
          <w:rFonts w:ascii="Arial" w:hAnsi="Arial" w:cs="Arial"/>
          <w:sz w:val="20"/>
          <w:szCs w:val="20"/>
        </w:rPr>
        <w:t xml:space="preserve">Z uwagi na uruchomienie systemu teleinformatycznego, który będzie obsługiwał proces licencjonowania obrotu z zagranicą towarami, technologiami i usługami o znaczeniu strategicznym (uzbrojenie i produkty podwójnego zastosowania) będzie możliwe złożenie wniosku w formie elektronicznej. Obecnie nie ma zapisów w ustawie o obrocie o takiej formie składania wniosku. </w:t>
      </w:r>
    </w:p>
    <w:p w14:paraId="139E6C38" w14:textId="539780D4" w:rsidR="00224159" w:rsidRPr="005C158A" w:rsidRDefault="00F84C06" w:rsidP="00224159">
      <w:pPr>
        <w:spacing w:before="120" w:after="120" w:line="360" w:lineRule="auto"/>
        <w:jc w:val="both"/>
        <w:rPr>
          <w:rFonts w:ascii="Arial" w:hAnsi="Arial" w:cs="Arial"/>
          <w:sz w:val="20"/>
          <w:szCs w:val="20"/>
        </w:rPr>
      </w:pPr>
      <w:r w:rsidRPr="000C4824">
        <w:rPr>
          <w:rFonts w:ascii="Arial" w:hAnsi="Arial" w:cs="Arial"/>
          <w:sz w:val="20"/>
          <w:szCs w:val="20"/>
        </w:rPr>
        <w:t xml:space="preserve">Do przesyłania wniosków w formie elektronicznej system teleinformatyczny Punktu Informacji dla Przedsiębiorcy wykorzystuje adresy użytkowników na </w:t>
      </w:r>
      <w:proofErr w:type="spellStart"/>
      <w:r w:rsidRPr="000C4824">
        <w:rPr>
          <w:rFonts w:ascii="Arial" w:hAnsi="Arial" w:cs="Arial"/>
          <w:sz w:val="20"/>
          <w:szCs w:val="20"/>
        </w:rPr>
        <w:t>ePUAP</w:t>
      </w:r>
      <w:proofErr w:type="spellEnd"/>
      <w:r w:rsidRPr="000C4824">
        <w:rPr>
          <w:rFonts w:ascii="Arial" w:hAnsi="Arial" w:cs="Arial"/>
          <w:sz w:val="20"/>
          <w:szCs w:val="20"/>
        </w:rPr>
        <w:t xml:space="preserve">, a po zintegrowaniu systemu z systemem </w:t>
      </w:r>
      <w:proofErr w:type="spellStart"/>
      <w:r w:rsidRPr="000C4824">
        <w:rPr>
          <w:rFonts w:ascii="Arial" w:hAnsi="Arial" w:cs="Arial"/>
          <w:sz w:val="20"/>
          <w:szCs w:val="20"/>
        </w:rPr>
        <w:t>eDoręczeń</w:t>
      </w:r>
      <w:proofErr w:type="spellEnd"/>
      <w:r w:rsidRPr="000C4824">
        <w:rPr>
          <w:rFonts w:ascii="Arial" w:hAnsi="Arial" w:cs="Arial"/>
          <w:sz w:val="20"/>
          <w:szCs w:val="20"/>
        </w:rPr>
        <w:t xml:space="preserve"> do przesyłania wniosków będą wykorzystywane Adresy do Doręczeń Elektronicznych (ADE)</w:t>
      </w:r>
    </w:p>
    <w:p w14:paraId="3FAA6DE5" w14:textId="09DC0C41"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W art. 9 w ust. 2 należy uchylić pkt 8 z uwagi na fakt, iż jest on zbędny. Z przepisu wynika obowiązek podawania kraju końcowego przeznaczenia we wniosku o wydanie zezwolenia na obrót towarami o znaczeniu strategicznym. Z uwagi na fakt, iż takie informacje podawane są w innym miejscu wniosku tj. w polu, w którym wnioskodawca podaje nazwę i adres końcowego użytkownika oraz kraj jego siedziby, nie jest zasadne powtarzanie tych informacji. Po wejściu w życie ustawy przesłanka określona w art. 9 ust. 6 pkt 4 lit a (kraj końcowego użytkownika) będzie weryfikowana za pomocą informacji o końcowym użytkowniku - art. 9 ust. 2 pkt 6. Na podstawie tego przepisu wnioskodawca podaje nazwę oraz adres  końcowego użytkownika. Zatem podając adres pojawia się także informacja na temat kraju końcowego przeznaczenia ponieważ kraj końcowego przeznaczenia jest równocześnie krajem końcowego użytkownika. </w:t>
      </w:r>
    </w:p>
    <w:p w14:paraId="0846C3F6" w14:textId="33058522"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Art. 9 w ust. 6 pkt 4 nale</w:t>
      </w:r>
      <w:r w:rsidR="00A52500" w:rsidRPr="005C158A">
        <w:rPr>
          <w:rFonts w:ascii="Arial" w:hAnsi="Arial" w:cs="Arial"/>
          <w:sz w:val="20"/>
          <w:szCs w:val="20"/>
        </w:rPr>
        <w:t>ży</w:t>
      </w:r>
      <w:r w:rsidRPr="005C158A">
        <w:rPr>
          <w:rFonts w:ascii="Arial" w:hAnsi="Arial" w:cs="Arial"/>
          <w:sz w:val="20"/>
          <w:szCs w:val="20"/>
        </w:rPr>
        <w:t xml:space="preserve"> zmienić poprzez umożliwienie złożenia certyfikatu importowego lub poświadczenia oświadczenia końcowego użytkownika w formie odwzorowania cyfrowego tych dokumentów przy jednoczesnym złożeniu oświadczenia wnioskodawcy o posiadaniu oryginałów tych dokumentów. Powyższy zapis umożliwi niezwłoczne wszczęcie postępowania administracyjnego na podstawie dokumentów odwzorowanych elektronicznie, przy jednoczesnym zapewnieniu możliwości ich weryfikacji przez organ kontroli obrotu. </w:t>
      </w:r>
    </w:p>
    <w:p w14:paraId="1DD858B6" w14:textId="001FDF64"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W art. 9 </w:t>
      </w:r>
      <w:r w:rsidR="00A52500" w:rsidRPr="005C158A">
        <w:rPr>
          <w:rFonts w:ascii="Arial" w:hAnsi="Arial" w:cs="Arial"/>
          <w:sz w:val="20"/>
          <w:szCs w:val="20"/>
        </w:rPr>
        <w:t xml:space="preserve">proponuje się dodać </w:t>
      </w:r>
      <w:r w:rsidRPr="005C158A">
        <w:rPr>
          <w:rFonts w:ascii="Arial" w:hAnsi="Arial" w:cs="Arial"/>
          <w:sz w:val="20"/>
          <w:szCs w:val="20"/>
        </w:rPr>
        <w:t xml:space="preserve">ust. 6a, który dotyczy złożenia do wniosku o wydanie zezwolenia na obrót towarami o znaczeniu strategicznym oświadczenia wnioskodawcy o tym, że posiada oryginał certyfikatu  lub oświadczenia końcowego użytkownika, w przypadku gdy składa odwzorowanie cyfrowe tych dokumentów. W przypadku gdy organ kontroli obrotu nie jest w posiadaniu oryginałów ww. dokumentów oświadczenie wnioskodawcy będzie stanowiło zabezpieczenie, iż faktycznie jest w posiadaniu tych dokumentów. Ma to znaczenie z punktu widzenia uprawnień kontrolnych organu kontroli obrotu. </w:t>
      </w:r>
    </w:p>
    <w:p w14:paraId="3800FF8E" w14:textId="63B53BEA"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00A52500" w:rsidRPr="005C158A">
        <w:rPr>
          <w:rFonts w:ascii="Arial" w:hAnsi="Arial" w:cs="Arial"/>
          <w:sz w:val="20"/>
          <w:szCs w:val="20"/>
        </w:rPr>
        <w:t xml:space="preserve">art. 9 </w:t>
      </w:r>
      <w:r w:rsidRPr="005C158A">
        <w:rPr>
          <w:rFonts w:ascii="Arial" w:hAnsi="Arial" w:cs="Arial"/>
          <w:sz w:val="20"/>
          <w:szCs w:val="20"/>
        </w:rPr>
        <w:t xml:space="preserve">ust. 6c wnioskodawca zostaje zobowiązany do przechowywania oryginału certyfikatu importowego lub oświadczenia końcowego użytkownika przez okres 10 lat. Jednocześnie, w przypadku likwidacji bądź zakończenia działalności podmiotu ma on obowiązek przekazać niezwłocznie oryginały </w:t>
      </w:r>
      <w:r w:rsidRPr="005C158A">
        <w:rPr>
          <w:rFonts w:ascii="Arial" w:hAnsi="Arial" w:cs="Arial"/>
          <w:sz w:val="20"/>
          <w:szCs w:val="20"/>
        </w:rPr>
        <w:lastRenderedPageBreak/>
        <w:t xml:space="preserve">certyfikatu importowego lub oświadczenia końcowego użytkownika przechowywane w swojej siedzibie do organu kontroli obrotu (art. 22 ust. 6b). </w:t>
      </w:r>
    </w:p>
    <w:p w14:paraId="1958B9DD" w14:textId="000C81ED" w:rsidR="00224159" w:rsidRPr="005C158A" w:rsidRDefault="00A52500" w:rsidP="00224159">
      <w:pPr>
        <w:spacing w:before="120" w:after="120" w:line="360" w:lineRule="auto"/>
        <w:jc w:val="both"/>
        <w:rPr>
          <w:rFonts w:ascii="Arial" w:hAnsi="Arial" w:cs="Arial"/>
          <w:sz w:val="20"/>
          <w:szCs w:val="20"/>
        </w:rPr>
      </w:pPr>
      <w:r w:rsidRPr="005C158A">
        <w:rPr>
          <w:rFonts w:ascii="Arial" w:hAnsi="Arial" w:cs="Arial"/>
          <w:sz w:val="20"/>
          <w:szCs w:val="20"/>
        </w:rPr>
        <w:t>W art. 9 u</w:t>
      </w:r>
      <w:r w:rsidR="00224159" w:rsidRPr="005C158A">
        <w:rPr>
          <w:rFonts w:ascii="Arial" w:hAnsi="Arial" w:cs="Arial"/>
          <w:sz w:val="20"/>
          <w:szCs w:val="20"/>
        </w:rPr>
        <w:t xml:space="preserve">st. 6b wprowadza zapis </w:t>
      </w:r>
      <w:r w:rsidRPr="005C158A">
        <w:rPr>
          <w:rFonts w:ascii="Arial" w:hAnsi="Arial" w:cs="Arial"/>
          <w:sz w:val="20"/>
          <w:szCs w:val="20"/>
        </w:rPr>
        <w:t>określający</w:t>
      </w:r>
      <w:r w:rsidR="00224159" w:rsidRPr="005C158A">
        <w:rPr>
          <w:rFonts w:ascii="Arial" w:hAnsi="Arial" w:cs="Arial"/>
          <w:sz w:val="20"/>
          <w:szCs w:val="20"/>
        </w:rPr>
        <w:t xml:space="preserve">, iż oświadczenie o posiadaniu oryginałów certyfikatu importowego lub oświadczenia końcowego użytkownika składane jest pod rygorem odpowiedzialności karnej za złożenie fałszywego oświadczenia. Projektodawca określając obowiązek złożenia oświadczenia określa także przepis, który będzie stanowił sankcję za podanie nieprawdziwego oświadczenia. </w:t>
      </w:r>
    </w:p>
    <w:p w14:paraId="7BDF0D80" w14:textId="574E55FB" w:rsidR="00224159" w:rsidRPr="005C158A" w:rsidRDefault="00A52500" w:rsidP="00224159">
      <w:pPr>
        <w:spacing w:before="120" w:after="120" w:line="360" w:lineRule="auto"/>
        <w:jc w:val="both"/>
        <w:rPr>
          <w:rFonts w:ascii="Arial" w:hAnsi="Arial" w:cs="Arial"/>
          <w:sz w:val="20"/>
          <w:szCs w:val="20"/>
        </w:rPr>
      </w:pPr>
      <w:r w:rsidRPr="005C158A">
        <w:rPr>
          <w:rFonts w:ascii="Arial" w:hAnsi="Arial" w:cs="Arial"/>
          <w:sz w:val="20"/>
          <w:szCs w:val="20"/>
        </w:rPr>
        <w:t>Proponuje się dodać</w:t>
      </w:r>
      <w:r w:rsidR="00224159" w:rsidRPr="005C158A">
        <w:rPr>
          <w:rFonts w:ascii="Arial" w:hAnsi="Arial" w:cs="Arial"/>
          <w:sz w:val="20"/>
          <w:szCs w:val="20"/>
        </w:rPr>
        <w:t xml:space="preserve"> art. 17b, który statuuje fakt, iż w przypadku gdy wniosek o wydanie zezwolenia indywidualnego lub globalnego, wydanie certyfikatu importowego lub poświadczenie oświadczenia końcowego użytkownika został złożony za pośrednictwem systemu teleinformatycznego doręczenie decyzji administracyjnej w tych sprawach również następuje za pośrednictwem przedmiotowego systemu. </w:t>
      </w:r>
    </w:p>
    <w:p w14:paraId="3715ECE0" w14:textId="5505FF44"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Art. 21 ustawy, który dotyczy prowadzenia rejestru został uchylony w całości. Przepisy dotyczące rejestru, który ma być prowadzony w systemie teleinformatycznym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zostały zawarte w nowym Rozdziale 4a. </w:t>
      </w:r>
    </w:p>
    <w:p w14:paraId="57D14534" w14:textId="77777777" w:rsidR="001014FB" w:rsidRPr="005C158A" w:rsidRDefault="001014FB"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W art. 22 zmieniono brzmienie ust. 1 i 1a poprzez uwzględnienie organów kraju zagranicznego dostawcy a nie tylko organów kraju zagranicznego eksportera, które mogą wymagać certyfikatu importowego. Certyfikat importowy może być wystawiony przez organ kontroli obrotu także w przypadku transferu wewnątrzunijnego uzbrojenia a nie tylko w przypadku wywozu. Pojęcie dostawcy pochodzi z przepisów Dyrektywy Parlamentu Europejskiego i Rady 2009/43/WE z dnia 6 maja 2009 r. w sprawie uproszczenia warunków transferów produktów związanych z obronnością we Wspólnocie (Dz. Urz. UE  L 146/1). Wobec powyższego, należy uwzględnić również w przepisie  dostawcę. </w:t>
      </w:r>
    </w:p>
    <w:p w14:paraId="1258C984" w14:textId="35BBF865" w:rsidR="001014FB" w:rsidRPr="005C158A" w:rsidRDefault="001014FB" w:rsidP="0011422D">
      <w:pPr>
        <w:spacing w:before="120" w:after="120" w:line="360" w:lineRule="auto"/>
        <w:jc w:val="both"/>
        <w:rPr>
          <w:rFonts w:ascii="Arial" w:hAnsi="Arial" w:cs="Arial"/>
          <w:sz w:val="20"/>
          <w:szCs w:val="20"/>
        </w:rPr>
      </w:pPr>
      <w:r w:rsidRPr="005C158A">
        <w:rPr>
          <w:rFonts w:ascii="Arial" w:hAnsi="Arial" w:cs="Arial"/>
          <w:sz w:val="20"/>
          <w:szCs w:val="20"/>
        </w:rPr>
        <w:t>Obecnie przepis wskazuje wyłącznie na możliwość zażądania okazania takiego dokumentu właściwe organy kraju eksportera mogą wymagać takich dokumentów. Jednakże w przypadku obrotu wewnątrzunijnego również może być wymagany certyfikat importowy - stąd dodanie zagranicznego dostawcy w ust. 1 i 2 w art. 22 w przypadku transferu wewnątrzunijnego uzbrojeni</w:t>
      </w:r>
      <w:r w:rsidR="00FF3AFC" w:rsidRPr="005C158A">
        <w:rPr>
          <w:rFonts w:ascii="Arial" w:hAnsi="Arial" w:cs="Arial"/>
          <w:sz w:val="20"/>
          <w:szCs w:val="20"/>
        </w:rPr>
        <w:t>a</w:t>
      </w:r>
      <w:r w:rsidRPr="005C158A">
        <w:rPr>
          <w:rFonts w:ascii="Arial" w:hAnsi="Arial" w:cs="Arial"/>
          <w:sz w:val="20"/>
          <w:szCs w:val="20"/>
        </w:rPr>
        <w:t xml:space="preserve">. </w:t>
      </w:r>
    </w:p>
    <w:p w14:paraId="538D001B" w14:textId="3E495FFE" w:rsidR="00224159" w:rsidRPr="005C158A" w:rsidRDefault="003E164F"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Proponuje się dodać </w:t>
      </w:r>
      <w:r w:rsidR="00224159" w:rsidRPr="005C158A">
        <w:rPr>
          <w:rFonts w:ascii="Arial" w:hAnsi="Arial" w:cs="Arial"/>
          <w:sz w:val="20"/>
          <w:szCs w:val="20"/>
        </w:rPr>
        <w:t>art. 22 ust. 2b, który stanowi, iż wydanie certyfikatu importowego następuje w drodze decyzji administracyjnej. Określa także, ważność certyfikatu importowego. Będzie on ważny przez 6 miesięcy od dnia wydania, chyba że wcześniej zostanie okazany właściwym władzom poza granicami kraju. Obecnie nie ma takiego przepisu w ustawie. Jednakże informację o tym, że jest on ważny przez 6 miesięcy od dnia wydania o ile nie zostanie wcześniej okazany władzom w innym kraju  podmiot otrzymuje na wydanym certyfikacie importowym. Odmowa wydania certyfikatu importowego także następuje w drodze decyzji administracyjnej.</w:t>
      </w:r>
    </w:p>
    <w:p w14:paraId="6349F11C" w14:textId="3C4FAC08"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Art. 25 </w:t>
      </w:r>
      <w:r w:rsidR="003E164F" w:rsidRPr="005C158A">
        <w:rPr>
          <w:rFonts w:ascii="Arial" w:hAnsi="Arial" w:cs="Arial"/>
          <w:sz w:val="20"/>
          <w:szCs w:val="20"/>
        </w:rPr>
        <w:t>proponuje się zmienić w taki sposób</w:t>
      </w:r>
      <w:r w:rsidRPr="005C158A">
        <w:rPr>
          <w:rFonts w:ascii="Arial" w:hAnsi="Arial" w:cs="Arial"/>
          <w:sz w:val="20"/>
          <w:szCs w:val="20"/>
        </w:rPr>
        <w:t xml:space="preserve">, aby zapewnić możliwość prowadzenia ewidencji obrotu z zagranicą towarami o znaczeniu strategicznym za pośrednictwem systemu teleinformatycznego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Podmiot dokonujący obrotu będzie mógł prowadzić ewidencję obrotu w jednej z 3 form: w formie papierowej, w systemie teleinformatycznym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o którym mowa w art. 27d ust. 1 ustawy, albo w innym systemie teleinformatycznym posiadającym rozwiązania umożliwiające rejestrację i </w:t>
      </w:r>
      <w:r w:rsidRPr="005C158A">
        <w:rPr>
          <w:rFonts w:ascii="Arial" w:hAnsi="Arial" w:cs="Arial"/>
          <w:sz w:val="20"/>
          <w:szCs w:val="20"/>
        </w:rPr>
        <w:lastRenderedPageBreak/>
        <w:t>przechowywanie wpisów wraz z kopią zapasową oraz umożliwiającym weryfikację wpisów na podstawie dokumentów przechowywanych przez podmiot. Obecnie dozwolone są dwie formy prowadzenia ewidencji</w:t>
      </w:r>
      <w:r w:rsidR="003E164F" w:rsidRPr="005C158A">
        <w:rPr>
          <w:rFonts w:ascii="Arial" w:hAnsi="Arial" w:cs="Arial"/>
          <w:sz w:val="20"/>
          <w:szCs w:val="20"/>
        </w:rPr>
        <w:t>, tj.:</w:t>
      </w:r>
      <w:r w:rsidRPr="005C158A">
        <w:rPr>
          <w:rFonts w:ascii="Arial" w:hAnsi="Arial" w:cs="Arial"/>
          <w:sz w:val="20"/>
          <w:szCs w:val="20"/>
        </w:rPr>
        <w:t xml:space="preserve"> </w:t>
      </w:r>
      <w:r w:rsidR="003E164F" w:rsidRPr="005C158A">
        <w:rPr>
          <w:rFonts w:ascii="Arial" w:hAnsi="Arial" w:cs="Arial"/>
          <w:sz w:val="20"/>
          <w:szCs w:val="20"/>
        </w:rPr>
        <w:t>f</w:t>
      </w:r>
      <w:r w:rsidRPr="005C158A">
        <w:rPr>
          <w:rFonts w:ascii="Arial" w:hAnsi="Arial" w:cs="Arial"/>
          <w:sz w:val="20"/>
          <w:szCs w:val="20"/>
        </w:rPr>
        <w:t xml:space="preserve">orma papierowa albo  forma elektroniczna pod warunkiem posiadania systemu elektronicznego posiadającym ww. rozwiązania. Ustawa dopuszcza jeszcze jedną formę prowadzenia ewidencji tj. za pośrednictwem systemu teleinformatycznego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Jednakże przedsiębiorca będzie mógł korzystać tylko z jednej formy prowadzenia ewidencji obrotu. </w:t>
      </w:r>
    </w:p>
    <w:p w14:paraId="26B3AF31" w14:textId="2554DEDD"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Dodano także </w:t>
      </w:r>
      <w:r w:rsidR="003E164F" w:rsidRPr="005C158A">
        <w:rPr>
          <w:rFonts w:ascii="Arial" w:hAnsi="Arial" w:cs="Arial"/>
          <w:sz w:val="20"/>
          <w:szCs w:val="20"/>
        </w:rPr>
        <w:t xml:space="preserve">art. 22 </w:t>
      </w:r>
      <w:r w:rsidRPr="005C158A">
        <w:rPr>
          <w:rFonts w:ascii="Arial" w:hAnsi="Arial" w:cs="Arial"/>
          <w:sz w:val="20"/>
          <w:szCs w:val="20"/>
        </w:rPr>
        <w:t xml:space="preserve">ust.1b, który nakłada obowiązek złożenia wniosku o dostęp do danych z sytemu teleinformatycznego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w przypadku woli prowadzenia ewidencji obrotu w systemie teleinformatycznym. </w:t>
      </w:r>
    </w:p>
    <w:p w14:paraId="5654B37B" w14:textId="77777777"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Brzmienie art. 26 zostało zmienione, z uwagi na funkcje nowego systemu. Należało dodać obowiązek dla przedsiębiorców dokonujących obrotu w ramach unijnych zezwoleń generalnych na wywóz oraz krajowych zezwoleń generalnych, przekazywania także informacji o braku obrotu na podstawie takich zezwoleń. Obecny przepis zobowiązuje do przekazywania sprawozdania z realizacji obrotu, co wskazuje na obowiązek złożenia informacji wyłącznie w przypadku dokonywania obrotu. Zatem organ kontroli obrotu nie jest w stanie zweryfikować, czy podmiot dopełnił obowiązki informacyjne nałożone przepisami ustawy.</w:t>
      </w:r>
    </w:p>
    <w:p w14:paraId="0A7656DF" w14:textId="6698FEC0"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Po rozdziale 4 ustawy dodany został rozdział 4a pt. „Rejestr wydanych zezwoleń, certyfikatów importowych, poświadczeń oświadczenia końcowego użytkownika oraz podmiotów korzystających z zezwoleń generalnych”. Określa on, że minister właściwy ds. gospodarki  prowadzi rejestr udzielonych zezwoleń indywidualnych,  zezwoleń globalnych, wydanych certyfikatów importowych, poświadczonych oświadczeń końcowego użytkownika oraz  wykaz podmiotów korzystających z zezwoleń generalnych, zwany dalej „rejestrem”, przy użyciu systemu teleinformatycznego.  Art. 27d określa jakie dane i informacje są zawarte w rejestrze. Są to informacje dotyczące wnioskodawców (nazwa i adres siedziby lub miejsca zamieszkania), nazwa i adres siedziby lub miejsca zamieszkania  eksportera bądź dostawcy, nazwa i adres siedziby lub miejsca zamieszkania dotyczące końcowego użytkownika, opis towarów o znaczeniu strategicznym oraz inne informacje dotyczące towarów. </w:t>
      </w:r>
    </w:p>
    <w:p w14:paraId="78EF4CAD" w14:textId="77777777"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Art. 27d ust. 3  stanowi, iż minister właściwy do spraw gospodarki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Zapisy te są niezbędne z uwagi na to, iż w systemie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będą przetwarzane dane osobowe</w:t>
      </w:r>
    </w:p>
    <w:p w14:paraId="0F5D7460" w14:textId="77777777"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Art. 27 f ust. 1 stanowi, iż dane i informacje mogą być udostępniane za pośrednictwem systemu teleinformatycznego Punktu Informacji dla Przedsiębiorcy, o którym mowa w art. 51 ust. 1 ustawy z dnia 6 marca 2018 r. o Centralnej Ewidencji i Informacji o Działalności Gospodarczej i Punkcie Informacji dla Przedsiębiorcy.</w:t>
      </w:r>
    </w:p>
    <w:p w14:paraId="0F462D2B" w14:textId="77777777"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Przepis zawarty w art. 27d ust. 2 stanowi, iż  podmiot pragnący uzyskać dostęp do danych jest zobowiązany do złożenia wniosku za pośrednictwem systemu PIP. </w:t>
      </w:r>
    </w:p>
    <w:p w14:paraId="123F7722" w14:textId="77777777"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Art. 27d ust. 3 zawiera wymogi dotyczące  wniosku o uzyskanie dostępu albo wniosku o odebranie dostępu do danych  i  informacji, są to: dane wnioskodawcy, dane podmiotu, którego dane i informacje maja być udostępnione oraz dane osób dla których wnioskuje się o nadanie dostępu do danych i informacji. </w:t>
      </w:r>
    </w:p>
    <w:p w14:paraId="27CA02C8" w14:textId="77777777"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W art. 27d ust. 4 zawarto przepisy w zakresie uwierzytelnienia wniosku o uzyskanie dostępu do danych i informacji z systemu kwalifikowanym podpisem elektronicznym, podpisem zaufanym albo podpisem osobistym osoby fizycznej uprawnionej do złożenia wniosku. </w:t>
      </w:r>
    </w:p>
    <w:p w14:paraId="0BD98BAD" w14:textId="77777777" w:rsidR="00224159"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 xml:space="preserve">Art. 27d ust. 6 zawiera zapis, na podstawie którego organ kontroli obrotu  informuje wnioskodawcę o niekompletności wniosku lub o nieprawidłowych danych za pośrednictwem systemu teleinformatycznego Punktu Informacji dla Przedsiębiorcy, o którym mowa w art. 51 ust. 1 ustawy z dnia 6 marca 2018 r. o Centralnej Ewidencji i Informacji o Działalności Gospodarczej i Punkcie Informacji dla Przedsiębiorcy. Ponadto do tej czynności nie będą miały zastosowania przepisy Kodeksu postępowania administracyjnego. Będzie to czynność techniczna. </w:t>
      </w:r>
    </w:p>
    <w:p w14:paraId="39AB2335" w14:textId="15B0B3C4" w:rsidR="001F6E40" w:rsidRPr="005C158A" w:rsidRDefault="00224159" w:rsidP="00224159">
      <w:pPr>
        <w:spacing w:before="120" w:after="120" w:line="360" w:lineRule="auto"/>
        <w:jc w:val="both"/>
        <w:rPr>
          <w:rFonts w:ascii="Arial" w:hAnsi="Arial" w:cs="Arial"/>
          <w:sz w:val="20"/>
          <w:szCs w:val="20"/>
        </w:rPr>
      </w:pPr>
      <w:r w:rsidRPr="005C158A">
        <w:rPr>
          <w:rFonts w:ascii="Arial" w:hAnsi="Arial" w:cs="Arial"/>
          <w:sz w:val="20"/>
          <w:szCs w:val="20"/>
        </w:rPr>
        <w:t>Wdrożenie przepisów dotyczących systemu teleinformatycznego (</w:t>
      </w:r>
      <w:proofErr w:type="spellStart"/>
      <w:r w:rsidRPr="005C158A">
        <w:rPr>
          <w:rFonts w:ascii="Arial" w:hAnsi="Arial" w:cs="Arial"/>
          <w:sz w:val="20"/>
          <w:szCs w:val="20"/>
        </w:rPr>
        <w:t>Tracker</w:t>
      </w:r>
      <w:proofErr w:type="spellEnd"/>
      <w:r w:rsidRPr="005C158A">
        <w:rPr>
          <w:rFonts w:ascii="Arial" w:hAnsi="Arial" w:cs="Arial"/>
          <w:sz w:val="20"/>
          <w:szCs w:val="20"/>
        </w:rPr>
        <w:t xml:space="preserve"> 2.0) wspierającego procesy licencjonowania obrotu z zagranicą towarami, technologiami i usługami o znaczeniu strategicznym (uzbrojenie i produkty podwójnego zastosowania) jest związane z projektem Unii Europejskiej </w:t>
      </w:r>
      <w:proofErr w:type="spellStart"/>
      <w:r w:rsidRPr="005C158A">
        <w:rPr>
          <w:rFonts w:ascii="Arial" w:hAnsi="Arial" w:cs="Arial"/>
          <w:sz w:val="20"/>
          <w:szCs w:val="20"/>
        </w:rPr>
        <w:t>Tra</w:t>
      </w:r>
      <w:r w:rsidR="00EB3373" w:rsidRPr="005C158A">
        <w:rPr>
          <w:rFonts w:ascii="Arial" w:hAnsi="Arial" w:cs="Arial"/>
          <w:sz w:val="20"/>
          <w:szCs w:val="20"/>
        </w:rPr>
        <w:t>c</w:t>
      </w:r>
      <w:r w:rsidRPr="005C158A">
        <w:rPr>
          <w:rFonts w:ascii="Arial" w:hAnsi="Arial" w:cs="Arial"/>
          <w:sz w:val="20"/>
          <w:szCs w:val="20"/>
        </w:rPr>
        <w:t>ker</w:t>
      </w:r>
      <w:proofErr w:type="spellEnd"/>
      <w:r w:rsidRPr="005C158A">
        <w:rPr>
          <w:rFonts w:ascii="Arial" w:hAnsi="Arial" w:cs="Arial"/>
          <w:sz w:val="20"/>
          <w:szCs w:val="20"/>
        </w:rPr>
        <w:t xml:space="preserve"> 2.0. </w:t>
      </w:r>
      <w:r w:rsidR="001F6E40" w:rsidRPr="005C158A">
        <w:rPr>
          <w:rFonts w:ascii="Arial" w:hAnsi="Arial" w:cs="Arial"/>
          <w:sz w:val="20"/>
          <w:szCs w:val="20"/>
        </w:rPr>
        <w:t>Zaproponowane zmiany wymagają wprowadzenia przepisów przejściowych, których omówienie zostało zawarte w części uzasadnienia</w:t>
      </w:r>
      <w:r w:rsidR="00344F69" w:rsidRPr="005C158A">
        <w:rPr>
          <w:rFonts w:ascii="Arial" w:hAnsi="Arial" w:cs="Arial"/>
          <w:sz w:val="20"/>
          <w:szCs w:val="20"/>
        </w:rPr>
        <w:t xml:space="preserve"> dotyczącej wprowadzenia przepisów przejściowych i końcowych</w:t>
      </w:r>
      <w:r w:rsidR="001F6E40" w:rsidRPr="005C158A">
        <w:rPr>
          <w:rFonts w:ascii="Arial" w:hAnsi="Arial" w:cs="Arial"/>
          <w:sz w:val="20"/>
          <w:szCs w:val="20"/>
        </w:rPr>
        <w:t xml:space="preserve">. </w:t>
      </w:r>
    </w:p>
    <w:p w14:paraId="5013BB8D" w14:textId="373473E8" w:rsidR="001D3EE1" w:rsidRPr="005C158A" w:rsidRDefault="00855C56" w:rsidP="00401710">
      <w:pPr>
        <w:pStyle w:val="Nagwek2"/>
        <w:spacing w:before="120" w:after="120" w:line="360" w:lineRule="auto"/>
        <w:jc w:val="both"/>
        <w:rPr>
          <w:rFonts w:ascii="Arial" w:hAnsi="Arial" w:cs="Arial"/>
          <w:b w:val="0"/>
          <w:color w:val="auto"/>
          <w:sz w:val="20"/>
          <w:szCs w:val="20"/>
        </w:rPr>
      </w:pPr>
      <w:bookmarkStart w:id="59" w:name="_Toc138329766"/>
      <w:r w:rsidRPr="005C158A">
        <w:rPr>
          <w:rFonts w:ascii="Arial" w:hAnsi="Arial" w:cs="Arial"/>
          <w:color w:val="auto"/>
          <w:sz w:val="20"/>
          <w:szCs w:val="20"/>
        </w:rPr>
        <w:t>Ustawa</w:t>
      </w:r>
      <w:r w:rsidR="001D3EE1" w:rsidRPr="005C158A">
        <w:rPr>
          <w:rFonts w:ascii="Arial" w:hAnsi="Arial" w:cs="Arial"/>
          <w:color w:val="auto"/>
          <w:sz w:val="20"/>
          <w:szCs w:val="20"/>
        </w:rPr>
        <w:t xml:space="preserve"> z dnia 2 marca 2001 r. o wyrobie alkoholu etylowego oraz wytwarzaniu wyrobów tytoniowych</w:t>
      </w:r>
      <w:bookmarkEnd w:id="59"/>
      <w:r w:rsidR="001D3EE1" w:rsidRPr="005C158A">
        <w:rPr>
          <w:rFonts w:ascii="Arial" w:hAnsi="Arial" w:cs="Arial"/>
          <w:color w:val="auto"/>
          <w:sz w:val="20"/>
          <w:szCs w:val="20"/>
        </w:rPr>
        <w:t xml:space="preserve"> </w:t>
      </w:r>
    </w:p>
    <w:p w14:paraId="200EDF89" w14:textId="579B2211" w:rsidR="001D3EE1" w:rsidRPr="005C158A" w:rsidRDefault="00434217" w:rsidP="0011422D">
      <w:pPr>
        <w:tabs>
          <w:tab w:val="left" w:pos="284"/>
        </w:tabs>
        <w:spacing w:before="120" w:after="120" w:line="360" w:lineRule="auto"/>
        <w:jc w:val="both"/>
        <w:rPr>
          <w:rFonts w:ascii="Arial" w:hAnsi="Arial" w:cs="Arial"/>
          <w:sz w:val="20"/>
          <w:szCs w:val="20"/>
        </w:rPr>
      </w:pPr>
      <w:r w:rsidRPr="005C158A">
        <w:rPr>
          <w:rFonts w:ascii="Arial" w:hAnsi="Arial" w:cs="Arial"/>
          <w:sz w:val="20"/>
          <w:szCs w:val="20"/>
        </w:rPr>
        <w:t>Zmiany w niniejszej ustawie dotycz</w:t>
      </w:r>
      <w:r w:rsidR="00982F38" w:rsidRPr="005C158A">
        <w:rPr>
          <w:rFonts w:ascii="Arial" w:hAnsi="Arial" w:cs="Arial"/>
          <w:sz w:val="20"/>
          <w:szCs w:val="20"/>
        </w:rPr>
        <w:t>ą</w:t>
      </w:r>
      <w:r w:rsidRPr="005C158A">
        <w:rPr>
          <w:rFonts w:ascii="Arial" w:hAnsi="Arial" w:cs="Arial"/>
          <w:sz w:val="20"/>
          <w:szCs w:val="20"/>
        </w:rPr>
        <w:t xml:space="preserve"> odstąpienia od zasady dwuinstancyjności. </w:t>
      </w:r>
      <w:r w:rsidR="001D3EE1" w:rsidRPr="005C158A">
        <w:rPr>
          <w:rFonts w:ascii="Arial" w:hAnsi="Arial" w:cs="Arial"/>
          <w:sz w:val="20"/>
          <w:szCs w:val="20"/>
        </w:rPr>
        <w:t>W</w:t>
      </w:r>
      <w:r w:rsidR="00295358" w:rsidRPr="005C158A">
        <w:rPr>
          <w:rFonts w:ascii="Arial" w:hAnsi="Arial" w:cs="Arial"/>
          <w:sz w:val="20"/>
          <w:szCs w:val="20"/>
        </w:rPr>
        <w:t> </w:t>
      </w:r>
      <w:r w:rsidR="001D3EE1" w:rsidRPr="005C158A">
        <w:rPr>
          <w:rFonts w:ascii="Arial" w:hAnsi="Arial" w:cs="Arial"/>
          <w:sz w:val="20"/>
          <w:szCs w:val="20"/>
        </w:rPr>
        <w:t>przypadku wydania decyzji, o której mowa w art. 7 ust. 1, organ prowadzący rejestry z urzędu wykreśla przedsiębiorcę z rejestru. W tej sprawie nie jest zasadne wydawanie decyzji o wykreśleniu wpisu z rejestru</w:t>
      </w:r>
      <w:r w:rsidR="00351FD3" w:rsidRPr="005C158A">
        <w:rPr>
          <w:rFonts w:ascii="Arial" w:hAnsi="Arial" w:cs="Arial"/>
          <w:sz w:val="20"/>
          <w:szCs w:val="20"/>
        </w:rPr>
        <w:t>.</w:t>
      </w:r>
      <w:r w:rsidR="001D3EE1" w:rsidRPr="005C158A">
        <w:rPr>
          <w:rFonts w:ascii="Arial" w:hAnsi="Arial" w:cs="Arial"/>
          <w:sz w:val="20"/>
          <w:szCs w:val="20"/>
        </w:rPr>
        <w:t xml:space="preserve"> </w:t>
      </w:r>
      <w:r w:rsidR="00351FD3" w:rsidRPr="005C158A">
        <w:rPr>
          <w:rFonts w:ascii="Arial" w:hAnsi="Arial" w:cs="Arial"/>
          <w:sz w:val="20"/>
          <w:szCs w:val="20"/>
        </w:rPr>
        <w:t>W</w:t>
      </w:r>
      <w:r w:rsidR="001D3EE1" w:rsidRPr="005C158A">
        <w:rPr>
          <w:rFonts w:ascii="Arial" w:hAnsi="Arial" w:cs="Arial"/>
          <w:sz w:val="20"/>
          <w:szCs w:val="20"/>
        </w:rPr>
        <w:t>ykreślenie wpisu jest proceduralną konsekwencją wydania ww. decyzji o zakazie wykonywania przez przedsiębiorcę działalności w zakresie wyrobu lub rozlewu napojów spirytusowych i powinno następować w drodze czynności materialno-technicznej. Proponuje się</w:t>
      </w:r>
      <w:r w:rsidR="00B84670" w:rsidRPr="005C158A">
        <w:rPr>
          <w:rFonts w:ascii="Arial" w:hAnsi="Arial" w:cs="Arial"/>
          <w:sz w:val="20"/>
          <w:szCs w:val="20"/>
        </w:rPr>
        <w:t xml:space="preserve">, z uwagi na charakter decyzji </w:t>
      </w:r>
      <w:r w:rsidR="001D3EE1" w:rsidRPr="005C158A">
        <w:rPr>
          <w:rFonts w:ascii="Arial" w:hAnsi="Arial" w:cs="Arial"/>
          <w:sz w:val="20"/>
          <w:szCs w:val="20"/>
        </w:rPr>
        <w:t xml:space="preserve"> </w:t>
      </w:r>
      <w:r w:rsidR="00B84670" w:rsidRPr="005C158A">
        <w:rPr>
          <w:rFonts w:ascii="Arial" w:hAnsi="Arial" w:cs="Arial"/>
          <w:sz w:val="20"/>
          <w:szCs w:val="20"/>
        </w:rPr>
        <w:t>o zakazie prowadzenia działalności objętej wpisem do rejestru, wprowadzenie jednoinstancyjności w ramach tego postępowania</w:t>
      </w:r>
      <w:r w:rsidR="00B84670" w:rsidRPr="005C158A" w:rsidDel="00B84670">
        <w:rPr>
          <w:rFonts w:ascii="Arial" w:hAnsi="Arial" w:cs="Arial"/>
          <w:sz w:val="20"/>
          <w:szCs w:val="20"/>
        </w:rPr>
        <w:t xml:space="preserve"> </w:t>
      </w:r>
      <w:r w:rsidR="004F52B6" w:rsidRPr="005C158A">
        <w:rPr>
          <w:rFonts w:ascii="Arial" w:hAnsi="Arial" w:cs="Arial"/>
          <w:sz w:val="20"/>
          <w:szCs w:val="20"/>
        </w:rPr>
        <w:t xml:space="preserve">(projektowany art. 7a ust. </w:t>
      </w:r>
      <w:r w:rsidR="00351FD3" w:rsidRPr="005C158A">
        <w:rPr>
          <w:rFonts w:ascii="Arial" w:hAnsi="Arial" w:cs="Arial"/>
          <w:sz w:val="20"/>
          <w:szCs w:val="20"/>
        </w:rPr>
        <w:t>1a</w:t>
      </w:r>
      <w:r w:rsidR="00982F38" w:rsidRPr="005C158A">
        <w:rPr>
          <w:rFonts w:ascii="Arial" w:hAnsi="Arial" w:cs="Arial"/>
          <w:sz w:val="20"/>
          <w:szCs w:val="20"/>
        </w:rPr>
        <w:t xml:space="preserve">). </w:t>
      </w:r>
    </w:p>
    <w:p w14:paraId="2A17047B" w14:textId="2BA6B118" w:rsidR="001D3EE1" w:rsidRPr="005C158A" w:rsidRDefault="001D3EE1" w:rsidP="00401710">
      <w:pPr>
        <w:spacing w:before="120" w:after="120" w:line="360" w:lineRule="auto"/>
        <w:jc w:val="both"/>
        <w:rPr>
          <w:rFonts w:ascii="Arial" w:hAnsi="Arial" w:cs="Arial"/>
          <w:sz w:val="20"/>
          <w:szCs w:val="20"/>
        </w:rPr>
      </w:pPr>
      <w:r w:rsidRPr="005C158A">
        <w:rPr>
          <w:rFonts w:ascii="Arial" w:hAnsi="Arial" w:cs="Arial"/>
          <w:sz w:val="20"/>
          <w:szCs w:val="20"/>
        </w:rPr>
        <w:t>Postępowanie w sprawie wykreślenia przedsiębiorcy z rejestru podmiotów wykonujących działalność w</w:t>
      </w:r>
      <w:r w:rsidR="00295358" w:rsidRPr="005C158A">
        <w:rPr>
          <w:rFonts w:ascii="Arial" w:hAnsi="Arial" w:cs="Arial"/>
          <w:sz w:val="20"/>
          <w:szCs w:val="20"/>
        </w:rPr>
        <w:t> </w:t>
      </w:r>
      <w:r w:rsidRPr="005C158A">
        <w:rPr>
          <w:rFonts w:ascii="Arial" w:hAnsi="Arial" w:cs="Arial"/>
          <w:sz w:val="20"/>
          <w:szCs w:val="20"/>
        </w:rPr>
        <w:t>zakresie wyrobu i przetwarzania alkoholu etylowego lub rejestru producentów wyrobów tytoniowych na jego wniosek również powinno być jednoinstancyjne, gdyż ma ono na celu spełnienie w całości żądania przedsiębiorcy</w:t>
      </w:r>
      <w:r w:rsidR="004F52B6" w:rsidRPr="005C158A">
        <w:rPr>
          <w:rFonts w:ascii="Arial" w:hAnsi="Arial" w:cs="Arial"/>
          <w:sz w:val="20"/>
          <w:szCs w:val="20"/>
        </w:rPr>
        <w:t xml:space="preserve"> (projektowany</w:t>
      </w:r>
      <w:r w:rsidR="004F52B6" w:rsidRPr="005C158A">
        <w:rPr>
          <w:rFonts w:ascii="Arial" w:hAnsi="Arial" w:cs="Arial"/>
          <w:b/>
          <w:bCs/>
          <w:sz w:val="20"/>
          <w:szCs w:val="20"/>
        </w:rPr>
        <w:t xml:space="preserve"> art. 7c ust. 2</w:t>
      </w:r>
      <w:r w:rsidR="004F52B6" w:rsidRPr="005C158A">
        <w:rPr>
          <w:rFonts w:ascii="Arial" w:hAnsi="Arial" w:cs="Arial"/>
          <w:sz w:val="20"/>
          <w:szCs w:val="20"/>
        </w:rPr>
        <w:t xml:space="preserve"> ustawy</w:t>
      </w:r>
      <w:r w:rsidR="00982F38" w:rsidRPr="005C158A">
        <w:rPr>
          <w:rFonts w:ascii="Arial" w:hAnsi="Arial" w:cs="Arial"/>
          <w:sz w:val="20"/>
          <w:szCs w:val="20"/>
        </w:rPr>
        <w:t xml:space="preserve"> o wyrobie alkoholu etylowego oraz wytwarzaniu wyrobów tytoniowych</w:t>
      </w:r>
      <w:r w:rsidR="004F52B6" w:rsidRPr="005C158A">
        <w:rPr>
          <w:rFonts w:ascii="Arial" w:hAnsi="Arial" w:cs="Arial"/>
          <w:sz w:val="20"/>
          <w:szCs w:val="20"/>
        </w:rPr>
        <w:t>)</w:t>
      </w:r>
      <w:r w:rsidRPr="005C158A">
        <w:rPr>
          <w:rFonts w:ascii="Arial" w:hAnsi="Arial" w:cs="Arial"/>
          <w:sz w:val="20"/>
          <w:szCs w:val="20"/>
        </w:rPr>
        <w:t xml:space="preserve">. </w:t>
      </w:r>
    </w:p>
    <w:p w14:paraId="25966778" w14:textId="377A74D7" w:rsidR="00E17E89" w:rsidRPr="005C158A" w:rsidRDefault="00855C56" w:rsidP="00401710">
      <w:pPr>
        <w:pStyle w:val="Nagwek2"/>
        <w:spacing w:before="120" w:after="120" w:line="360" w:lineRule="auto"/>
        <w:jc w:val="both"/>
        <w:rPr>
          <w:rFonts w:ascii="Arial" w:hAnsi="Arial" w:cs="Arial"/>
          <w:color w:val="auto"/>
          <w:sz w:val="20"/>
          <w:szCs w:val="20"/>
        </w:rPr>
      </w:pPr>
      <w:bookmarkStart w:id="60" w:name="_Toc138329767"/>
      <w:r w:rsidRPr="005C158A">
        <w:rPr>
          <w:rFonts w:ascii="Arial" w:hAnsi="Arial" w:cs="Arial"/>
          <w:color w:val="auto"/>
          <w:sz w:val="20"/>
          <w:szCs w:val="20"/>
        </w:rPr>
        <w:t>Ustawa</w:t>
      </w:r>
      <w:r w:rsidR="00E17E89" w:rsidRPr="005C158A">
        <w:rPr>
          <w:rFonts w:ascii="Arial" w:hAnsi="Arial" w:cs="Arial"/>
          <w:color w:val="auto"/>
          <w:sz w:val="20"/>
          <w:szCs w:val="20"/>
        </w:rPr>
        <w:t xml:space="preserve"> z dnia 6 września 2001 r. – Prawo farmaceutyczne</w:t>
      </w:r>
      <w:bookmarkEnd w:id="60"/>
    </w:p>
    <w:p w14:paraId="6D7B8B9C" w14:textId="583F4F1C" w:rsidR="006628A2" w:rsidRPr="005C158A" w:rsidRDefault="006628A2" w:rsidP="00DC6DF4">
      <w:pPr>
        <w:pStyle w:val="Akapitzlist"/>
        <w:numPr>
          <w:ilvl w:val="0"/>
          <w:numId w:val="28"/>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Wymóg występowania </w:t>
      </w:r>
      <w:r w:rsidR="00331770" w:rsidRPr="005C158A">
        <w:rPr>
          <w:rFonts w:ascii="Arial" w:hAnsi="Arial" w:cs="Arial"/>
          <w:sz w:val="20"/>
          <w:szCs w:val="20"/>
        </w:rPr>
        <w:t xml:space="preserve">(w art. 54 ust. 3 pkt 1 ustawy - Prawo farmaceutyczne) </w:t>
      </w:r>
      <w:r w:rsidRPr="005C158A">
        <w:rPr>
          <w:rFonts w:ascii="Arial" w:hAnsi="Arial" w:cs="Arial"/>
          <w:sz w:val="20"/>
          <w:szCs w:val="20"/>
        </w:rPr>
        <w:t xml:space="preserve">o dostarczenie próbki jedynie w formie pisemnej nie przystaje do potrzeb obrotu gospodarczego. Wprowadza się zatem możliwość występowania o próbki w formie dokumentowej. Ponadto należy zwrócić uwagę na treść art. </w:t>
      </w:r>
      <w:r w:rsidRPr="005C158A">
        <w:rPr>
          <w:rFonts w:ascii="Arial" w:hAnsi="Arial" w:cs="Arial"/>
          <w:sz w:val="20"/>
          <w:szCs w:val="20"/>
        </w:rPr>
        <w:lastRenderedPageBreak/>
        <w:t>67 pkt 3 Prawo przedsiębiorców, zgodnie z którym opracowując projekt aktu normatywnego określającego zasady podejmowania, wykonywania lub zakończenia działalności gospodarczej, należy kierować się zasadami proporcjonalności i adekwatności, a w szczególności dążyć do umożliwienia realizacji obowiązków informacyjnych w postaci elektronicznej.</w:t>
      </w:r>
    </w:p>
    <w:p w14:paraId="1DFC3FAC" w14:textId="3D12F631" w:rsidR="007C42D5" w:rsidRPr="005C158A" w:rsidRDefault="007C42D5" w:rsidP="00DC6DF4">
      <w:pPr>
        <w:pStyle w:val="Akapitzlist"/>
        <w:numPr>
          <w:ilvl w:val="0"/>
          <w:numId w:val="28"/>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Obecnie obowiązujący </w:t>
      </w:r>
      <w:r w:rsidR="00331770" w:rsidRPr="005C158A">
        <w:rPr>
          <w:rFonts w:ascii="Arial" w:hAnsi="Arial" w:cs="Arial"/>
          <w:sz w:val="20"/>
          <w:szCs w:val="20"/>
        </w:rPr>
        <w:t xml:space="preserve">w </w:t>
      </w:r>
      <w:r w:rsidR="00331770" w:rsidRPr="005C158A">
        <w:rPr>
          <w:rFonts w:ascii="Arial" w:hAnsi="Arial" w:cs="Arial"/>
          <w:b/>
          <w:bCs/>
          <w:sz w:val="20"/>
          <w:szCs w:val="20"/>
        </w:rPr>
        <w:t>art. 119a ust. 3</w:t>
      </w:r>
      <w:r w:rsidR="00331770" w:rsidRPr="005C158A">
        <w:rPr>
          <w:rFonts w:ascii="Arial" w:hAnsi="Arial" w:cs="Arial"/>
          <w:sz w:val="20"/>
          <w:szCs w:val="20"/>
        </w:rPr>
        <w:t xml:space="preserve"> ustawy - Prawo farmaceutyczne </w:t>
      </w:r>
      <w:r w:rsidRPr="005C158A">
        <w:rPr>
          <w:rFonts w:ascii="Arial" w:hAnsi="Arial" w:cs="Arial"/>
          <w:sz w:val="20"/>
          <w:szCs w:val="20"/>
        </w:rPr>
        <w:t>termin 30 dni jest trudny to zrealizowania, ponieważ czynności niezbędne dla ustalenia zakresu niezbędnych materiałów i dokumentacji trwają dłużej. Poniżej podano przykładowe czasy realizacji zamówień poszczególnych materiałów niezbędnych do przebadania produktu:</w:t>
      </w:r>
    </w:p>
    <w:p w14:paraId="71237DED" w14:textId="4E607BAF" w:rsidR="007C42D5" w:rsidRPr="005C158A" w:rsidRDefault="007C42D5" w:rsidP="00DC6DF4">
      <w:pPr>
        <w:pStyle w:val="Akapitzlist"/>
        <w:numPr>
          <w:ilvl w:val="0"/>
          <w:numId w:val="27"/>
        </w:numPr>
        <w:spacing w:before="120" w:after="120" w:line="360" w:lineRule="auto"/>
        <w:ind w:left="0" w:hanging="11"/>
        <w:jc w:val="both"/>
        <w:rPr>
          <w:rFonts w:ascii="Arial" w:hAnsi="Arial" w:cs="Arial"/>
          <w:sz w:val="20"/>
          <w:szCs w:val="20"/>
        </w:rPr>
      </w:pPr>
      <w:r w:rsidRPr="005C158A">
        <w:rPr>
          <w:rFonts w:ascii="Arial" w:hAnsi="Arial" w:cs="Arial"/>
          <w:sz w:val="20"/>
          <w:szCs w:val="20"/>
        </w:rPr>
        <w:t>zamówienia wzorców (np. zanieczyszczeń): średnio 5-7 tygodni,</w:t>
      </w:r>
    </w:p>
    <w:p w14:paraId="79A2E222" w14:textId="24A1A094" w:rsidR="007C42D5" w:rsidRPr="005C158A" w:rsidRDefault="007C42D5" w:rsidP="00DC6DF4">
      <w:pPr>
        <w:pStyle w:val="Akapitzlist"/>
        <w:numPr>
          <w:ilvl w:val="0"/>
          <w:numId w:val="27"/>
        </w:numPr>
        <w:spacing w:before="120" w:after="120" w:line="360" w:lineRule="auto"/>
        <w:ind w:left="0" w:hanging="11"/>
        <w:jc w:val="both"/>
        <w:rPr>
          <w:rFonts w:ascii="Arial" w:hAnsi="Arial" w:cs="Arial"/>
          <w:sz w:val="20"/>
          <w:szCs w:val="20"/>
        </w:rPr>
      </w:pPr>
      <w:r w:rsidRPr="005C158A">
        <w:rPr>
          <w:rFonts w:ascii="Arial" w:hAnsi="Arial" w:cs="Arial"/>
          <w:sz w:val="20"/>
          <w:szCs w:val="20"/>
        </w:rPr>
        <w:t>zamówienia substancji farmakopealnych: 3-4 tygodnie,</w:t>
      </w:r>
    </w:p>
    <w:p w14:paraId="78CA2810" w14:textId="2D6C2E8D" w:rsidR="007C42D5" w:rsidRPr="005C158A" w:rsidRDefault="007C42D5" w:rsidP="00DC6DF4">
      <w:pPr>
        <w:pStyle w:val="Akapitzlist"/>
        <w:numPr>
          <w:ilvl w:val="0"/>
          <w:numId w:val="27"/>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zamówienie substancji kontrolowanych (tzw. NPS) – 3-4 miesiące. </w:t>
      </w:r>
    </w:p>
    <w:p w14:paraId="235C0B9F" w14:textId="2EADF84E" w:rsidR="007C42D5" w:rsidRPr="005C158A" w:rsidRDefault="007C42D5" w:rsidP="007C42D5">
      <w:pPr>
        <w:spacing w:before="120" w:after="120" w:line="360" w:lineRule="auto"/>
        <w:ind w:hanging="11"/>
        <w:jc w:val="both"/>
        <w:rPr>
          <w:rFonts w:ascii="Arial" w:hAnsi="Arial" w:cs="Arial"/>
          <w:sz w:val="20"/>
          <w:szCs w:val="20"/>
        </w:rPr>
      </w:pPr>
      <w:r w:rsidRPr="005C158A">
        <w:rPr>
          <w:rFonts w:ascii="Arial" w:hAnsi="Arial" w:cs="Arial"/>
          <w:sz w:val="20"/>
          <w:szCs w:val="20"/>
        </w:rPr>
        <w:t>Ponadto podmiot do realizacji zamówienia musi dostarczyć pozwolenie na dopuszczenie do obrotu produktu leczniczego. Zakup substancji kontrolowanych (NPS) wymaga uzyskania indywidualnej zgody. W przypadkach, gdy zakup wymaga pośrednictwa NIL, w zaleceniach NIL przewidziano konieczność uzgodnień z NIL na minimum 9 miesięcy przed planowaną datą wprowadzenia do obrotu</w:t>
      </w:r>
      <w:r w:rsidR="00331770" w:rsidRPr="005C158A">
        <w:rPr>
          <w:rFonts w:ascii="Arial" w:hAnsi="Arial" w:cs="Arial"/>
          <w:sz w:val="20"/>
          <w:szCs w:val="20"/>
        </w:rPr>
        <w:t>, min.:</w:t>
      </w:r>
    </w:p>
    <w:p w14:paraId="1D3695D3" w14:textId="61D28E9D" w:rsidR="007C42D5" w:rsidRPr="005C158A" w:rsidRDefault="00331770" w:rsidP="00DC6DF4">
      <w:pPr>
        <w:pStyle w:val="Akapitzlist"/>
        <w:numPr>
          <w:ilvl w:val="0"/>
          <w:numId w:val="27"/>
        </w:numPr>
        <w:spacing w:before="120" w:after="120" w:line="360" w:lineRule="auto"/>
        <w:ind w:left="0" w:hanging="11"/>
        <w:jc w:val="both"/>
        <w:rPr>
          <w:rFonts w:ascii="Arial" w:hAnsi="Arial" w:cs="Arial"/>
          <w:sz w:val="20"/>
          <w:szCs w:val="20"/>
        </w:rPr>
      </w:pPr>
      <w:r w:rsidRPr="005C158A">
        <w:rPr>
          <w:rFonts w:ascii="Arial" w:hAnsi="Arial" w:cs="Arial"/>
          <w:sz w:val="20"/>
          <w:szCs w:val="20"/>
        </w:rPr>
        <w:t>k</w:t>
      </w:r>
      <w:r w:rsidR="007C42D5" w:rsidRPr="005C158A">
        <w:rPr>
          <w:rFonts w:ascii="Arial" w:hAnsi="Arial" w:cs="Arial"/>
          <w:sz w:val="20"/>
          <w:szCs w:val="20"/>
        </w:rPr>
        <w:t>onieczność zamawiania specjalnych mieszanek izomerów, które nie są dostępne „od ręki”.</w:t>
      </w:r>
    </w:p>
    <w:p w14:paraId="521E88EE" w14:textId="7E348086" w:rsidR="007C42D5" w:rsidRPr="005C158A" w:rsidRDefault="00331770" w:rsidP="00DC6DF4">
      <w:pPr>
        <w:pStyle w:val="Akapitzlist"/>
        <w:numPr>
          <w:ilvl w:val="0"/>
          <w:numId w:val="27"/>
        </w:numPr>
        <w:spacing w:before="120" w:after="120" w:line="360" w:lineRule="auto"/>
        <w:ind w:left="0" w:hanging="11"/>
        <w:jc w:val="both"/>
        <w:rPr>
          <w:rFonts w:ascii="Arial" w:hAnsi="Arial" w:cs="Arial"/>
          <w:sz w:val="20"/>
          <w:szCs w:val="20"/>
        </w:rPr>
      </w:pPr>
      <w:r w:rsidRPr="005C158A">
        <w:rPr>
          <w:rFonts w:ascii="Arial" w:hAnsi="Arial" w:cs="Arial"/>
          <w:sz w:val="20"/>
          <w:szCs w:val="20"/>
        </w:rPr>
        <w:t>w</w:t>
      </w:r>
      <w:r w:rsidR="007C42D5" w:rsidRPr="005C158A">
        <w:rPr>
          <w:rFonts w:ascii="Arial" w:hAnsi="Arial" w:cs="Arial"/>
          <w:sz w:val="20"/>
          <w:szCs w:val="20"/>
        </w:rPr>
        <w:t xml:space="preserve"> razie konieczności ściągnięcia materiałów (substancji) spoza terenu EU – odprawy celne.</w:t>
      </w:r>
    </w:p>
    <w:p w14:paraId="78780506" w14:textId="10622CBE" w:rsidR="007C42D5" w:rsidRPr="005C158A" w:rsidRDefault="00331770" w:rsidP="00DC6DF4">
      <w:pPr>
        <w:pStyle w:val="Akapitzlist"/>
        <w:numPr>
          <w:ilvl w:val="0"/>
          <w:numId w:val="27"/>
        </w:numPr>
        <w:spacing w:before="120" w:after="120" w:line="360" w:lineRule="auto"/>
        <w:ind w:left="0" w:hanging="11"/>
        <w:jc w:val="both"/>
        <w:rPr>
          <w:rFonts w:ascii="Arial" w:hAnsi="Arial" w:cs="Arial"/>
          <w:sz w:val="20"/>
          <w:szCs w:val="20"/>
        </w:rPr>
      </w:pPr>
      <w:r w:rsidRPr="005C158A">
        <w:rPr>
          <w:rFonts w:ascii="Arial" w:hAnsi="Arial" w:cs="Arial"/>
          <w:sz w:val="20"/>
          <w:szCs w:val="20"/>
        </w:rPr>
        <w:t>w</w:t>
      </w:r>
      <w:r w:rsidR="007C42D5" w:rsidRPr="005C158A">
        <w:rPr>
          <w:rFonts w:ascii="Arial" w:hAnsi="Arial" w:cs="Arial"/>
          <w:sz w:val="20"/>
          <w:szCs w:val="20"/>
        </w:rPr>
        <w:t>zorce, substancje farmakopealne – zamawiane „na bieżąco” pod konkretne badania, co oznacza że nie są zabezpieczane przez podmiot na 6 miesięcy przed wprowadzeniem produktu do obrotu. Wzorce/substancje posiadają swoje terminy ważności.</w:t>
      </w:r>
    </w:p>
    <w:p w14:paraId="2F65ACF8" w14:textId="77777777" w:rsidR="007C42D5" w:rsidRPr="005C158A" w:rsidRDefault="007C42D5" w:rsidP="007C42D5">
      <w:pPr>
        <w:spacing w:before="120" w:after="120" w:line="360" w:lineRule="auto"/>
        <w:ind w:hanging="11"/>
        <w:jc w:val="both"/>
        <w:rPr>
          <w:rFonts w:ascii="Arial" w:hAnsi="Arial" w:cs="Arial"/>
          <w:sz w:val="20"/>
          <w:szCs w:val="20"/>
        </w:rPr>
      </w:pPr>
      <w:r w:rsidRPr="005C158A">
        <w:rPr>
          <w:rFonts w:ascii="Arial" w:hAnsi="Arial" w:cs="Arial"/>
          <w:sz w:val="20"/>
          <w:szCs w:val="20"/>
        </w:rPr>
        <w:t>Zakup sprzętu laboratoryjnego to również kilka tygodni w zależności od specyfiki sprzętu, jak i jego dostępności.</w:t>
      </w:r>
    </w:p>
    <w:p w14:paraId="6AA96E3F" w14:textId="20DF6C22" w:rsidR="007C42D5" w:rsidRPr="005C158A" w:rsidRDefault="007C42D5" w:rsidP="007C42D5">
      <w:pPr>
        <w:spacing w:before="120" w:after="120" w:line="360" w:lineRule="auto"/>
        <w:ind w:hanging="11"/>
        <w:jc w:val="both"/>
        <w:rPr>
          <w:rFonts w:ascii="Arial" w:hAnsi="Arial" w:cs="Arial"/>
          <w:sz w:val="20"/>
          <w:szCs w:val="20"/>
        </w:rPr>
      </w:pPr>
      <w:r w:rsidRPr="005C158A">
        <w:rPr>
          <w:rFonts w:ascii="Arial" w:hAnsi="Arial" w:cs="Arial"/>
          <w:sz w:val="20"/>
          <w:szCs w:val="20"/>
        </w:rPr>
        <w:t xml:space="preserve">Mając na uwadze powyższe, termin 30 dni od doręczenia podmiotowi odpowiedzialnemu decyzji </w:t>
      </w:r>
      <w:r w:rsidR="00331770" w:rsidRPr="005C158A">
        <w:rPr>
          <w:rFonts w:ascii="Arial" w:hAnsi="Arial" w:cs="Arial"/>
          <w:sz w:val="20"/>
          <w:szCs w:val="20"/>
        </w:rPr>
        <w:t>Głównego Inspektora Farmaceutycznego (GIF)</w:t>
      </w:r>
      <w:r w:rsidRPr="005C158A">
        <w:rPr>
          <w:rFonts w:ascii="Arial" w:hAnsi="Arial" w:cs="Arial"/>
          <w:sz w:val="20"/>
          <w:szCs w:val="20"/>
        </w:rPr>
        <w:t xml:space="preserve"> o skierowaniu do badań jakościowych jest niewystarczający na przekazanie do jednostki badawczej kompletu niezbędnych materiałów i dokumentacji. Tymczasem każde przekroczenie terminu będzie obligowało GIF do nałożenia kary pieniężnej. Uzasadniona zatem jest zmiana terminu z 30 na 60 dni.</w:t>
      </w:r>
    </w:p>
    <w:p w14:paraId="553BA6ED" w14:textId="674F22D4" w:rsidR="00964C55" w:rsidRPr="005C158A" w:rsidRDefault="00855C56" w:rsidP="00401710">
      <w:pPr>
        <w:pStyle w:val="Nagwek2"/>
        <w:spacing w:before="120" w:after="120" w:line="360" w:lineRule="auto"/>
        <w:jc w:val="both"/>
        <w:rPr>
          <w:rFonts w:ascii="Arial" w:hAnsi="Arial" w:cs="Arial"/>
          <w:b w:val="0"/>
          <w:color w:val="auto"/>
          <w:sz w:val="20"/>
          <w:szCs w:val="20"/>
        </w:rPr>
      </w:pPr>
      <w:bookmarkStart w:id="61" w:name="_Toc138329768"/>
      <w:r w:rsidRPr="005C158A">
        <w:rPr>
          <w:rFonts w:ascii="Arial" w:hAnsi="Arial" w:cs="Arial"/>
          <w:color w:val="auto"/>
          <w:sz w:val="20"/>
          <w:szCs w:val="20"/>
        </w:rPr>
        <w:t>Ustawa</w:t>
      </w:r>
      <w:r w:rsidR="00964C55" w:rsidRPr="005C158A">
        <w:rPr>
          <w:rFonts w:ascii="Arial" w:hAnsi="Arial" w:cs="Arial"/>
          <w:color w:val="auto"/>
          <w:sz w:val="20"/>
          <w:szCs w:val="20"/>
        </w:rPr>
        <w:t xml:space="preserve"> z dnia 3 lipca 2002 r. </w:t>
      </w:r>
      <w:r w:rsidR="00434217" w:rsidRPr="005C158A">
        <w:rPr>
          <w:rFonts w:ascii="Arial" w:hAnsi="Arial" w:cs="Arial"/>
          <w:color w:val="auto"/>
          <w:sz w:val="20"/>
          <w:szCs w:val="20"/>
        </w:rPr>
        <w:t xml:space="preserve">– </w:t>
      </w:r>
      <w:r w:rsidR="00964C55" w:rsidRPr="005C158A">
        <w:rPr>
          <w:rFonts w:ascii="Arial" w:hAnsi="Arial" w:cs="Arial"/>
          <w:color w:val="auto"/>
          <w:sz w:val="20"/>
          <w:szCs w:val="20"/>
        </w:rPr>
        <w:t>Prawo lotnicze</w:t>
      </w:r>
      <w:bookmarkEnd w:id="61"/>
      <w:r w:rsidR="00964C55" w:rsidRPr="005C158A">
        <w:rPr>
          <w:rFonts w:ascii="Arial" w:hAnsi="Arial" w:cs="Arial"/>
          <w:color w:val="auto"/>
          <w:sz w:val="20"/>
          <w:szCs w:val="20"/>
        </w:rPr>
        <w:t xml:space="preserve"> </w:t>
      </w:r>
    </w:p>
    <w:p w14:paraId="2FCA5FBB" w14:textId="22280E9E" w:rsidR="00964C55" w:rsidRPr="005C158A" w:rsidRDefault="00434217" w:rsidP="00401710">
      <w:pPr>
        <w:spacing w:before="120" w:after="120" w:line="360" w:lineRule="auto"/>
        <w:jc w:val="both"/>
        <w:rPr>
          <w:rFonts w:ascii="Arial" w:hAnsi="Arial" w:cs="Arial"/>
          <w:sz w:val="20"/>
          <w:szCs w:val="20"/>
        </w:rPr>
      </w:pPr>
      <w:r w:rsidRPr="005C158A">
        <w:rPr>
          <w:rFonts w:ascii="Arial" w:hAnsi="Arial" w:cs="Arial"/>
          <w:bCs/>
          <w:iCs/>
          <w:sz w:val="20"/>
          <w:szCs w:val="20"/>
        </w:rPr>
        <w:t xml:space="preserve">Zmiany w niniejszej ustawie dotyczą odstąpienia od zasady dwuinstancyjności. </w:t>
      </w:r>
      <w:r w:rsidR="00964C55" w:rsidRPr="005C158A">
        <w:rPr>
          <w:rFonts w:ascii="Arial" w:hAnsi="Arial" w:cs="Arial"/>
          <w:b/>
          <w:bCs/>
          <w:sz w:val="20"/>
          <w:szCs w:val="20"/>
        </w:rPr>
        <w:t>Art. 161 ust. 8</w:t>
      </w:r>
      <w:r w:rsidR="00964C55" w:rsidRPr="005C158A">
        <w:rPr>
          <w:rFonts w:ascii="Arial" w:hAnsi="Arial" w:cs="Arial"/>
          <w:sz w:val="20"/>
          <w:szCs w:val="20"/>
        </w:rPr>
        <w:t xml:space="preserve"> </w:t>
      </w:r>
      <w:r w:rsidR="00982F38" w:rsidRPr="005C158A">
        <w:rPr>
          <w:rFonts w:ascii="Arial" w:hAnsi="Arial" w:cs="Arial"/>
          <w:sz w:val="20"/>
          <w:szCs w:val="20"/>
        </w:rPr>
        <w:t xml:space="preserve">ww. ustawy </w:t>
      </w:r>
      <w:r w:rsidR="00964C55" w:rsidRPr="005C158A">
        <w:rPr>
          <w:rFonts w:ascii="Arial" w:hAnsi="Arial" w:cs="Arial"/>
          <w:sz w:val="20"/>
          <w:szCs w:val="20"/>
        </w:rPr>
        <w:t xml:space="preserve">przewiduje wydanie certyfikatu służb żeglugi powietrznej. W tym przypadku procesy certyfikacji dotychczas kończyły się wydaniem decyzji pozytywnych. Jakiekolwiek niezgodności są wyjaśniane przed podjęciem decyzji o wydaniu certyfikatu. </w:t>
      </w:r>
    </w:p>
    <w:p w14:paraId="59BD70BF" w14:textId="5D209D31" w:rsidR="00964C55" w:rsidRPr="005C158A" w:rsidRDefault="00964C55"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Należy pochylić się także nad art. 162 ust. 2 i 2a dotyczącym zawieszenia certyfikatu w związku z jego oddaniem. Certyfikat może zostać oddany Prezesowi Urzędu, co jest równoznaczne z jego zawieszeniem. Przepis </w:t>
      </w:r>
      <w:r w:rsidRPr="005C158A">
        <w:rPr>
          <w:rFonts w:ascii="Arial" w:hAnsi="Arial" w:cs="Arial"/>
          <w:b/>
          <w:bCs/>
          <w:sz w:val="20"/>
          <w:szCs w:val="20"/>
        </w:rPr>
        <w:t>art. 162 ust</w:t>
      </w:r>
      <w:r w:rsidR="005147B1" w:rsidRPr="005C158A">
        <w:rPr>
          <w:rFonts w:ascii="Arial" w:hAnsi="Arial" w:cs="Arial"/>
          <w:b/>
          <w:bCs/>
          <w:sz w:val="20"/>
          <w:szCs w:val="20"/>
        </w:rPr>
        <w:t>.</w:t>
      </w:r>
      <w:r w:rsidRPr="005C158A">
        <w:rPr>
          <w:rFonts w:ascii="Arial" w:hAnsi="Arial" w:cs="Arial"/>
          <w:b/>
          <w:bCs/>
          <w:sz w:val="20"/>
          <w:szCs w:val="20"/>
        </w:rPr>
        <w:t xml:space="preserve"> 2a</w:t>
      </w:r>
      <w:r w:rsidRPr="005C158A">
        <w:rPr>
          <w:rFonts w:ascii="Arial" w:hAnsi="Arial" w:cs="Arial"/>
          <w:sz w:val="20"/>
          <w:szCs w:val="20"/>
        </w:rPr>
        <w:t xml:space="preserve"> stanowi, że czynność ta jest dokonywana w formie decyzji administracyjnej. </w:t>
      </w:r>
      <w:r w:rsidR="00351FD3" w:rsidRPr="005C158A">
        <w:rPr>
          <w:rFonts w:ascii="Arial" w:hAnsi="Arial" w:cs="Arial"/>
          <w:sz w:val="20"/>
          <w:szCs w:val="20"/>
        </w:rPr>
        <w:t xml:space="preserve">Oddanie certyfikatu Prezesowi Urzędu odbywa się na wniosek podmiotu, zatem decyzja ta powinna mieć charakter ostateczny. </w:t>
      </w:r>
      <w:r w:rsidRPr="005C158A">
        <w:rPr>
          <w:rFonts w:ascii="Arial" w:hAnsi="Arial" w:cs="Arial"/>
          <w:sz w:val="20"/>
          <w:szCs w:val="20"/>
        </w:rPr>
        <w:t xml:space="preserve">Prezes Urzędu zwraca uprawnionemu podmiotowi na </w:t>
      </w:r>
      <w:r w:rsidRPr="005C158A">
        <w:rPr>
          <w:rFonts w:ascii="Arial" w:hAnsi="Arial" w:cs="Arial"/>
          <w:sz w:val="20"/>
          <w:szCs w:val="20"/>
        </w:rPr>
        <w:lastRenderedPageBreak/>
        <w:t>jego wniosek certyfikat, który uprzednio podmiot ten oddał Prezesowi, chyba że upłynął termin ważności certyfikatu – stwierdzenie upływu ważności certyfikatu, nie powinno nastręczać żadnych wątpliwości.</w:t>
      </w:r>
    </w:p>
    <w:p w14:paraId="043B8B39" w14:textId="67D974C7" w:rsidR="00964C55" w:rsidRPr="005C158A" w:rsidRDefault="00964C55"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Proponuje się również odstąpienie od dwuinstancyjności w zakresie art. 186b, 186c, 186d oraz 186e. W przypadku </w:t>
      </w:r>
      <w:r w:rsidRPr="005C158A">
        <w:rPr>
          <w:rFonts w:ascii="Arial" w:hAnsi="Arial" w:cs="Arial"/>
          <w:b/>
          <w:bCs/>
          <w:sz w:val="20"/>
          <w:szCs w:val="20"/>
        </w:rPr>
        <w:t>art. 186b ust. 20</w:t>
      </w:r>
      <w:r w:rsidRPr="005C158A">
        <w:rPr>
          <w:rFonts w:ascii="Arial" w:hAnsi="Arial" w:cs="Arial"/>
          <w:sz w:val="20"/>
          <w:szCs w:val="20"/>
        </w:rPr>
        <w:t xml:space="preserve"> związanego z wydaniem certyfikatu operatora kontroli bezpieczeństwa wydanie certyfikatu operatora kontroli bezpieczeństwa w drodze decyzji administracyjnej stanowi potwierdzenie pozytywnego wyniku egzaminu certyfikacyjnego. Egzamin może być powtarzany. Oczywiste jest, że niezaliczenie egzaminu certyfikacyjnego blokuje możliwość uzyskania certyfikatu. Nie zdarzają się zatem wnioski o wydanie certyfikatu bez spełnienia warunku zaliczenia egzaminu. </w:t>
      </w:r>
    </w:p>
    <w:p w14:paraId="13ACA4CA" w14:textId="45C6ABEF" w:rsidR="00964C55" w:rsidRPr="005C158A" w:rsidRDefault="00964C55" w:rsidP="00401710">
      <w:pPr>
        <w:spacing w:before="120" w:after="120" w:line="360" w:lineRule="auto"/>
        <w:jc w:val="both"/>
        <w:rPr>
          <w:rFonts w:ascii="Arial" w:hAnsi="Arial" w:cs="Arial"/>
          <w:sz w:val="20"/>
          <w:szCs w:val="20"/>
        </w:rPr>
      </w:pPr>
      <w:r w:rsidRPr="005C158A">
        <w:rPr>
          <w:rFonts w:ascii="Arial" w:hAnsi="Arial" w:cs="Arial"/>
          <w:b/>
          <w:bCs/>
          <w:sz w:val="20"/>
          <w:szCs w:val="20"/>
        </w:rPr>
        <w:t>Art. 186c</w:t>
      </w:r>
      <w:r w:rsidRPr="005C158A">
        <w:rPr>
          <w:rFonts w:ascii="Arial" w:hAnsi="Arial" w:cs="Arial"/>
          <w:sz w:val="20"/>
          <w:szCs w:val="20"/>
        </w:rPr>
        <w:t xml:space="preserve">, </w:t>
      </w:r>
      <w:r w:rsidRPr="005C158A">
        <w:rPr>
          <w:rFonts w:ascii="Arial" w:hAnsi="Arial" w:cs="Arial"/>
          <w:b/>
          <w:bCs/>
          <w:sz w:val="20"/>
          <w:szCs w:val="20"/>
        </w:rPr>
        <w:t>186d</w:t>
      </w:r>
      <w:r w:rsidRPr="005C158A">
        <w:rPr>
          <w:rFonts w:ascii="Arial" w:hAnsi="Arial" w:cs="Arial"/>
          <w:sz w:val="20"/>
          <w:szCs w:val="20"/>
        </w:rPr>
        <w:t xml:space="preserve"> oraz </w:t>
      </w:r>
      <w:r w:rsidRPr="005C158A">
        <w:rPr>
          <w:rFonts w:ascii="Arial" w:hAnsi="Arial" w:cs="Arial"/>
          <w:b/>
          <w:bCs/>
          <w:sz w:val="20"/>
          <w:szCs w:val="20"/>
        </w:rPr>
        <w:t>186</w:t>
      </w:r>
      <w:r w:rsidR="00982F38" w:rsidRPr="005C158A">
        <w:rPr>
          <w:rFonts w:ascii="Arial" w:hAnsi="Arial" w:cs="Arial"/>
          <w:b/>
          <w:bCs/>
          <w:sz w:val="20"/>
          <w:szCs w:val="20"/>
        </w:rPr>
        <w:t>e</w:t>
      </w:r>
      <w:r w:rsidRPr="005C158A">
        <w:rPr>
          <w:rFonts w:ascii="Arial" w:hAnsi="Arial" w:cs="Arial"/>
          <w:sz w:val="20"/>
          <w:szCs w:val="20"/>
        </w:rPr>
        <w:t xml:space="preserve"> </w:t>
      </w:r>
      <w:r w:rsidR="00982F38" w:rsidRPr="005C158A">
        <w:rPr>
          <w:rFonts w:ascii="Arial" w:hAnsi="Arial" w:cs="Arial"/>
          <w:sz w:val="20"/>
          <w:szCs w:val="20"/>
        </w:rPr>
        <w:t xml:space="preserve">ustawa – Prawo lotnicze </w:t>
      </w:r>
      <w:r w:rsidRPr="005C158A">
        <w:rPr>
          <w:rFonts w:ascii="Arial" w:hAnsi="Arial" w:cs="Arial"/>
          <w:sz w:val="20"/>
          <w:szCs w:val="20"/>
        </w:rPr>
        <w:t>dotyczy odpowiednio wyznaczenia zarejestrowanego agenta, dostawcy oraz nadawcy. Przesłanki wydania decyzji są jednoznacznie określone w przepis</w:t>
      </w:r>
      <w:r w:rsidR="00982F38" w:rsidRPr="005C158A">
        <w:rPr>
          <w:rFonts w:ascii="Arial" w:hAnsi="Arial" w:cs="Arial"/>
          <w:sz w:val="20"/>
          <w:szCs w:val="20"/>
        </w:rPr>
        <w:t>ach</w:t>
      </w:r>
      <w:r w:rsidRPr="005C158A">
        <w:rPr>
          <w:rFonts w:ascii="Arial" w:hAnsi="Arial" w:cs="Arial"/>
          <w:sz w:val="20"/>
          <w:szCs w:val="20"/>
        </w:rPr>
        <w:t>. W przypadku decyzji negatywnej strona może złożyć wniosek o ponowne rozpatrzenie sprawy, jednak oczywistość niespełnienia wymogów przesądza o utrzymaniu decyzji w</w:t>
      </w:r>
      <w:r w:rsidR="00295358" w:rsidRPr="005C158A">
        <w:rPr>
          <w:rFonts w:ascii="Arial" w:hAnsi="Arial" w:cs="Arial"/>
          <w:sz w:val="20"/>
          <w:szCs w:val="20"/>
        </w:rPr>
        <w:t> </w:t>
      </w:r>
      <w:r w:rsidRPr="005C158A">
        <w:rPr>
          <w:rFonts w:ascii="Arial" w:hAnsi="Arial" w:cs="Arial"/>
          <w:sz w:val="20"/>
          <w:szCs w:val="20"/>
        </w:rPr>
        <w:t>mocy. Wniosek o ponowne rozpatrzenie, może jedynie wydłużyć czas ostatecznego załatwienia sprawy. Stąd też proponuje się zniesienie dwuinstancyjności tego postępowania administracyjnego.</w:t>
      </w:r>
    </w:p>
    <w:p w14:paraId="0918B6C5" w14:textId="7DE2C5AC" w:rsidR="00B3274C" w:rsidRPr="005C158A" w:rsidRDefault="00855C56" w:rsidP="00401710">
      <w:pPr>
        <w:pStyle w:val="Nagwek2"/>
        <w:spacing w:before="120" w:after="120" w:line="360" w:lineRule="auto"/>
        <w:jc w:val="both"/>
        <w:rPr>
          <w:rFonts w:ascii="Arial" w:hAnsi="Arial" w:cs="Arial"/>
          <w:color w:val="auto"/>
          <w:sz w:val="20"/>
          <w:szCs w:val="20"/>
        </w:rPr>
      </w:pPr>
      <w:bookmarkStart w:id="62" w:name="_Toc138329769"/>
      <w:r w:rsidRPr="005C158A">
        <w:rPr>
          <w:rFonts w:ascii="Arial" w:hAnsi="Arial" w:cs="Arial"/>
          <w:color w:val="auto"/>
          <w:sz w:val="20"/>
          <w:szCs w:val="20"/>
        </w:rPr>
        <w:t>Ustawa</w:t>
      </w:r>
      <w:r w:rsidR="00B3274C" w:rsidRPr="005C158A">
        <w:rPr>
          <w:rFonts w:ascii="Arial" w:hAnsi="Arial" w:cs="Arial"/>
          <w:color w:val="auto"/>
          <w:sz w:val="20"/>
          <w:szCs w:val="20"/>
        </w:rPr>
        <w:t xml:space="preserve"> z dnia 30 sierpnia 2002 r. – Prawo o postępowaniu przed sądami administracyjnymi</w:t>
      </w:r>
      <w:bookmarkEnd w:id="62"/>
    </w:p>
    <w:p w14:paraId="0B37D210" w14:textId="1996CEB9" w:rsidR="00B3274C" w:rsidRPr="005C158A" w:rsidRDefault="00B3274C"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Zmiana </w:t>
      </w:r>
      <w:bookmarkStart w:id="63" w:name="_Hlk117774671"/>
      <w:r w:rsidRPr="005C158A">
        <w:rPr>
          <w:rFonts w:ascii="Arial" w:hAnsi="Arial" w:cs="Arial"/>
          <w:b/>
          <w:bCs/>
          <w:sz w:val="20"/>
          <w:szCs w:val="20"/>
        </w:rPr>
        <w:t>art. 52 § 3</w:t>
      </w:r>
      <w:r w:rsidRPr="005C158A">
        <w:rPr>
          <w:rFonts w:ascii="Arial" w:hAnsi="Arial" w:cs="Arial"/>
          <w:sz w:val="20"/>
          <w:szCs w:val="20"/>
        </w:rPr>
        <w:t xml:space="preserve"> </w:t>
      </w:r>
      <w:proofErr w:type="spellStart"/>
      <w:r w:rsidR="00331770" w:rsidRPr="005C158A">
        <w:rPr>
          <w:rFonts w:ascii="Arial" w:hAnsi="Arial" w:cs="Arial"/>
          <w:sz w:val="20"/>
          <w:szCs w:val="20"/>
        </w:rPr>
        <w:t>Ppsa</w:t>
      </w:r>
      <w:proofErr w:type="spellEnd"/>
      <w:r w:rsidRPr="005C158A">
        <w:rPr>
          <w:rFonts w:ascii="Arial" w:hAnsi="Arial" w:cs="Arial"/>
          <w:sz w:val="20"/>
          <w:szCs w:val="20"/>
        </w:rPr>
        <w:t xml:space="preserve"> </w:t>
      </w:r>
      <w:bookmarkEnd w:id="63"/>
      <w:r w:rsidRPr="005C158A">
        <w:rPr>
          <w:rFonts w:ascii="Arial" w:hAnsi="Arial" w:cs="Arial"/>
          <w:sz w:val="20"/>
          <w:szCs w:val="20"/>
        </w:rPr>
        <w:t xml:space="preserve">ma na celu objęcie regulacją umożliwiającą wniesienie skargi do wojewódzkiego sądu administracyjnego bez składania wniosku o ponowne rozpatrzenie sprawy także postanowień. </w:t>
      </w:r>
    </w:p>
    <w:p w14:paraId="5F086C7C" w14:textId="2E67B2DA" w:rsidR="00B3274C" w:rsidRPr="005C158A" w:rsidRDefault="00B3274C"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Obecnie z uwagi na literalne brzmienie </w:t>
      </w:r>
      <w:bookmarkStart w:id="64" w:name="_Hlk117774827"/>
      <w:r w:rsidRPr="005C158A">
        <w:rPr>
          <w:rFonts w:ascii="Arial" w:hAnsi="Arial" w:cs="Arial"/>
          <w:sz w:val="20"/>
          <w:szCs w:val="20"/>
        </w:rPr>
        <w:t xml:space="preserve">art. 52 § 3 </w:t>
      </w:r>
      <w:proofErr w:type="spellStart"/>
      <w:r w:rsidR="00331770" w:rsidRPr="005C158A">
        <w:rPr>
          <w:rFonts w:ascii="Arial" w:hAnsi="Arial" w:cs="Arial"/>
          <w:sz w:val="20"/>
          <w:szCs w:val="20"/>
        </w:rPr>
        <w:t>Ppsa</w:t>
      </w:r>
      <w:proofErr w:type="spellEnd"/>
      <w:r w:rsidRPr="005C158A">
        <w:rPr>
          <w:rFonts w:ascii="Arial" w:hAnsi="Arial" w:cs="Arial"/>
          <w:sz w:val="20"/>
          <w:szCs w:val="20"/>
        </w:rPr>
        <w:t xml:space="preserve"> </w:t>
      </w:r>
      <w:bookmarkEnd w:id="64"/>
      <w:r w:rsidRPr="005C158A">
        <w:rPr>
          <w:rFonts w:ascii="Arial" w:hAnsi="Arial" w:cs="Arial"/>
          <w:sz w:val="20"/>
          <w:szCs w:val="20"/>
        </w:rPr>
        <w:t>przedmiotowa regulacja ma zastosowanie wyłącznie do decyzji administracyjnych, pomijając w tym zakresie postanowienia</w:t>
      </w:r>
      <w:r w:rsidR="00B81C40" w:rsidRPr="005C158A">
        <w:rPr>
          <w:rFonts w:ascii="Arial" w:hAnsi="Arial" w:cs="Arial"/>
          <w:sz w:val="20"/>
          <w:szCs w:val="20"/>
        </w:rPr>
        <w:t>,</w:t>
      </w:r>
      <w:r w:rsidRPr="005C158A">
        <w:rPr>
          <w:rFonts w:ascii="Arial" w:hAnsi="Arial" w:cs="Arial"/>
          <w:sz w:val="20"/>
          <w:szCs w:val="20"/>
        </w:rPr>
        <w:t xml:space="preserve"> na które również może przysługiwać wniosek o ponowne rozpatrzenie sprawy. Zatem w celu wyeliminowania wątpliwości należy dokonać zmian w ww. zakresie w art. 52 § 3 </w:t>
      </w:r>
      <w:proofErr w:type="spellStart"/>
      <w:r w:rsidR="00331770" w:rsidRPr="005C158A">
        <w:rPr>
          <w:rFonts w:ascii="Arial" w:hAnsi="Arial" w:cs="Arial"/>
          <w:sz w:val="20"/>
          <w:szCs w:val="20"/>
        </w:rPr>
        <w:t>Ppsa</w:t>
      </w:r>
      <w:proofErr w:type="spellEnd"/>
      <w:r w:rsidRPr="005C158A">
        <w:rPr>
          <w:rFonts w:ascii="Arial" w:hAnsi="Arial" w:cs="Arial"/>
          <w:sz w:val="20"/>
          <w:szCs w:val="20"/>
        </w:rPr>
        <w:t>.</w:t>
      </w:r>
    </w:p>
    <w:p w14:paraId="068E151F" w14:textId="78CFFE9C" w:rsidR="00EE434F" w:rsidRPr="005C158A" w:rsidRDefault="00EE434F"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Zaproponowano dodanie </w:t>
      </w:r>
      <w:r w:rsidR="00982F38" w:rsidRPr="005C158A">
        <w:rPr>
          <w:rFonts w:ascii="Arial" w:hAnsi="Arial" w:cs="Arial"/>
          <w:sz w:val="20"/>
          <w:szCs w:val="20"/>
        </w:rPr>
        <w:t>do</w:t>
      </w:r>
      <w:r w:rsidR="002D6405" w:rsidRPr="005C158A">
        <w:rPr>
          <w:rFonts w:ascii="Arial" w:hAnsi="Arial" w:cs="Arial"/>
          <w:sz w:val="20"/>
          <w:szCs w:val="20"/>
        </w:rPr>
        <w:t xml:space="preserve"> ww. ustawy</w:t>
      </w:r>
      <w:r w:rsidR="00982F38" w:rsidRPr="005C158A">
        <w:rPr>
          <w:rFonts w:ascii="Arial" w:hAnsi="Arial" w:cs="Arial"/>
          <w:sz w:val="20"/>
          <w:szCs w:val="20"/>
        </w:rPr>
        <w:t xml:space="preserve"> </w:t>
      </w:r>
      <w:r w:rsidRPr="005C158A">
        <w:rPr>
          <w:rFonts w:ascii="Arial" w:hAnsi="Arial" w:cs="Arial"/>
          <w:b/>
          <w:bCs/>
          <w:sz w:val="20"/>
          <w:szCs w:val="20"/>
        </w:rPr>
        <w:t>art. 64f</w:t>
      </w:r>
      <w:r w:rsidRPr="005C158A">
        <w:rPr>
          <w:rFonts w:ascii="Arial" w:hAnsi="Arial" w:cs="Arial"/>
          <w:sz w:val="20"/>
          <w:szCs w:val="20"/>
        </w:rPr>
        <w:t xml:space="preserve">. </w:t>
      </w:r>
      <w:r w:rsidR="002D6405" w:rsidRPr="005C158A">
        <w:rPr>
          <w:rFonts w:ascii="Arial" w:hAnsi="Arial" w:cs="Arial"/>
          <w:sz w:val="20"/>
          <w:szCs w:val="20"/>
        </w:rPr>
        <w:t>M</w:t>
      </w:r>
      <w:r w:rsidRPr="005C158A">
        <w:rPr>
          <w:rFonts w:ascii="Arial" w:hAnsi="Arial" w:cs="Arial"/>
          <w:sz w:val="20"/>
          <w:szCs w:val="20"/>
        </w:rPr>
        <w:t xml:space="preserve">a </w:t>
      </w:r>
      <w:r w:rsidR="002D6405" w:rsidRPr="005C158A">
        <w:rPr>
          <w:rFonts w:ascii="Arial" w:hAnsi="Arial" w:cs="Arial"/>
          <w:sz w:val="20"/>
          <w:szCs w:val="20"/>
        </w:rPr>
        <w:t xml:space="preserve">to </w:t>
      </w:r>
      <w:r w:rsidRPr="005C158A">
        <w:rPr>
          <w:rFonts w:ascii="Arial" w:hAnsi="Arial" w:cs="Arial"/>
          <w:sz w:val="20"/>
          <w:szCs w:val="20"/>
        </w:rPr>
        <w:t xml:space="preserve">na celu </w:t>
      </w:r>
      <w:r w:rsidR="00B81C40" w:rsidRPr="005C158A">
        <w:rPr>
          <w:rFonts w:ascii="Arial" w:hAnsi="Arial" w:cs="Arial"/>
          <w:sz w:val="20"/>
          <w:szCs w:val="20"/>
        </w:rPr>
        <w:t xml:space="preserve">objęcie </w:t>
      </w:r>
      <w:r w:rsidRPr="005C158A">
        <w:rPr>
          <w:rFonts w:ascii="Arial" w:hAnsi="Arial" w:cs="Arial"/>
          <w:sz w:val="20"/>
          <w:szCs w:val="20"/>
        </w:rPr>
        <w:t xml:space="preserve">regulacją umożliwiającą wniesienie sprzeciwu, nie tylko od decyzji </w:t>
      </w:r>
      <w:proofErr w:type="spellStart"/>
      <w:r w:rsidRPr="005C158A">
        <w:rPr>
          <w:rFonts w:ascii="Arial" w:hAnsi="Arial" w:cs="Arial"/>
          <w:sz w:val="20"/>
          <w:szCs w:val="20"/>
        </w:rPr>
        <w:t>kasatoryjnych</w:t>
      </w:r>
      <w:proofErr w:type="spellEnd"/>
      <w:r w:rsidRPr="005C158A">
        <w:rPr>
          <w:rFonts w:ascii="Arial" w:hAnsi="Arial" w:cs="Arial"/>
          <w:sz w:val="20"/>
          <w:szCs w:val="20"/>
        </w:rPr>
        <w:t xml:space="preserve">, ale także od postanowień wydanych poprzez odpowiednie zastosowanie art. 138 § 2 Kpa, w związku z art. 144 Kpa. Przepisy Rozdziału 3a </w:t>
      </w:r>
      <w:proofErr w:type="spellStart"/>
      <w:r w:rsidR="00331770" w:rsidRPr="005C158A">
        <w:rPr>
          <w:rFonts w:ascii="Arial" w:hAnsi="Arial" w:cs="Arial"/>
          <w:sz w:val="20"/>
          <w:szCs w:val="20"/>
        </w:rPr>
        <w:t>Ppsa</w:t>
      </w:r>
      <w:proofErr w:type="spellEnd"/>
      <w:r w:rsidRPr="005C158A">
        <w:rPr>
          <w:rFonts w:ascii="Arial" w:hAnsi="Arial" w:cs="Arial"/>
          <w:sz w:val="20"/>
          <w:szCs w:val="20"/>
        </w:rPr>
        <w:t xml:space="preserve"> („Sprzeciw od decyzji”), w obecnym brzmieniu, mają zastosowanie tylko do decyzji administracyjnych. Jednocześnie stronie powinno przysługiwać prawo wniesienia sprzeciwu od postanowienia wydanego na podstawie art. 144 w związku z art. 138 § 2 Kpa – analogicznie jak w przypadku decyzji na podstawie art. 64a </w:t>
      </w:r>
      <w:proofErr w:type="spellStart"/>
      <w:r w:rsidR="00331770" w:rsidRPr="005C158A">
        <w:rPr>
          <w:rFonts w:ascii="Arial" w:hAnsi="Arial" w:cs="Arial"/>
          <w:sz w:val="20"/>
          <w:szCs w:val="20"/>
        </w:rPr>
        <w:t>Ppsa</w:t>
      </w:r>
      <w:r w:rsidRPr="005C158A">
        <w:rPr>
          <w:rFonts w:ascii="Arial" w:hAnsi="Arial" w:cs="Arial"/>
          <w:sz w:val="20"/>
          <w:szCs w:val="20"/>
        </w:rPr>
        <w:t>i</w:t>
      </w:r>
      <w:proofErr w:type="spellEnd"/>
      <w:r w:rsidRPr="005C158A">
        <w:rPr>
          <w:rFonts w:ascii="Arial" w:hAnsi="Arial" w:cs="Arial"/>
          <w:sz w:val="20"/>
          <w:szCs w:val="20"/>
        </w:rPr>
        <w:t>.</w:t>
      </w:r>
    </w:p>
    <w:p w14:paraId="46FADA70" w14:textId="45D723AA" w:rsidR="009D1EAD" w:rsidRPr="005C158A" w:rsidRDefault="009D1EAD"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Zgodnie z art. 144 Kpa w sprawach dotyczących zażaleń w dużej mierze znajdują zastosowanie przepisy dotyczące </w:t>
      </w:r>
      <w:proofErr w:type="spellStart"/>
      <w:r w:rsidRPr="005C158A">
        <w:rPr>
          <w:rFonts w:ascii="Arial" w:hAnsi="Arial" w:cs="Arial"/>
          <w:sz w:val="20"/>
          <w:szCs w:val="20"/>
        </w:rPr>
        <w:t>odwołań</w:t>
      </w:r>
      <w:proofErr w:type="spellEnd"/>
      <w:r w:rsidRPr="005C158A">
        <w:rPr>
          <w:rFonts w:ascii="Arial" w:hAnsi="Arial" w:cs="Arial"/>
          <w:sz w:val="20"/>
          <w:szCs w:val="20"/>
        </w:rPr>
        <w:t xml:space="preserve"> od decyzji. W literaturze wyraźnie wskazuje się, że wobec wniesienia zażalenia na postanowienie organ odwoławczy musi zastosować odpowiednio m.in. przepis art. 138 Kpa (por. B. Adamiak, w: Adamiak, Borkowski, Komentarz Kpa, 2016, s. 636 i n.; K. </w:t>
      </w:r>
      <w:proofErr w:type="spellStart"/>
      <w:r w:rsidRPr="005C158A">
        <w:rPr>
          <w:rFonts w:ascii="Arial" w:hAnsi="Arial" w:cs="Arial"/>
          <w:sz w:val="20"/>
          <w:szCs w:val="20"/>
        </w:rPr>
        <w:t>Glibowski</w:t>
      </w:r>
      <w:proofErr w:type="spellEnd"/>
      <w:r w:rsidRPr="005C158A">
        <w:rPr>
          <w:rFonts w:ascii="Arial" w:hAnsi="Arial" w:cs="Arial"/>
          <w:sz w:val="20"/>
          <w:szCs w:val="20"/>
        </w:rPr>
        <w:t>, w: Hauser, Wierzbowski, Komentarz Kpa, 2017, s. 978 i n.). Podobne stanowisko przyjmuje się w orzecznictwie sądów administracyjnych (zob. wyr. NSA z 9</w:t>
      </w:r>
      <w:r w:rsidR="00331770" w:rsidRPr="005C158A">
        <w:rPr>
          <w:rFonts w:ascii="Arial" w:hAnsi="Arial" w:cs="Arial"/>
          <w:sz w:val="20"/>
          <w:szCs w:val="20"/>
        </w:rPr>
        <w:t xml:space="preserve"> listopada </w:t>
      </w:r>
      <w:r w:rsidRPr="005C158A">
        <w:rPr>
          <w:rFonts w:ascii="Arial" w:hAnsi="Arial" w:cs="Arial"/>
          <w:sz w:val="20"/>
          <w:szCs w:val="20"/>
        </w:rPr>
        <w:t xml:space="preserve">2012 r., II GSK 1503/11, </w:t>
      </w:r>
      <w:proofErr w:type="spellStart"/>
      <w:r w:rsidRPr="005C158A">
        <w:rPr>
          <w:rFonts w:ascii="Arial" w:hAnsi="Arial" w:cs="Arial"/>
          <w:sz w:val="20"/>
          <w:szCs w:val="20"/>
        </w:rPr>
        <w:t>Legalis</w:t>
      </w:r>
      <w:proofErr w:type="spellEnd"/>
      <w:r w:rsidRPr="005C158A">
        <w:rPr>
          <w:rFonts w:ascii="Arial" w:hAnsi="Arial" w:cs="Arial"/>
          <w:sz w:val="20"/>
          <w:szCs w:val="20"/>
        </w:rPr>
        <w:t>; wyr. NSA z 26</w:t>
      </w:r>
      <w:r w:rsidR="00331770" w:rsidRPr="005C158A">
        <w:rPr>
          <w:rFonts w:ascii="Arial" w:hAnsi="Arial" w:cs="Arial"/>
          <w:sz w:val="20"/>
          <w:szCs w:val="20"/>
        </w:rPr>
        <w:t xml:space="preserve"> marca </w:t>
      </w:r>
      <w:r w:rsidRPr="005C158A">
        <w:rPr>
          <w:rFonts w:ascii="Arial" w:hAnsi="Arial" w:cs="Arial"/>
          <w:sz w:val="20"/>
          <w:szCs w:val="20"/>
        </w:rPr>
        <w:t xml:space="preserve">1998 r., II SA 137/98, </w:t>
      </w:r>
      <w:proofErr w:type="spellStart"/>
      <w:r w:rsidRPr="005C158A">
        <w:rPr>
          <w:rFonts w:ascii="Arial" w:hAnsi="Arial" w:cs="Arial"/>
          <w:sz w:val="20"/>
          <w:szCs w:val="20"/>
        </w:rPr>
        <w:t>niepubl</w:t>
      </w:r>
      <w:proofErr w:type="spellEnd"/>
      <w:r w:rsidRPr="005C158A">
        <w:rPr>
          <w:rFonts w:ascii="Arial" w:hAnsi="Arial" w:cs="Arial"/>
          <w:sz w:val="20"/>
          <w:szCs w:val="20"/>
        </w:rPr>
        <w:t>.; wyr. WSA w Warszawie z 3</w:t>
      </w:r>
      <w:r w:rsidR="00331770" w:rsidRPr="005C158A">
        <w:rPr>
          <w:rFonts w:ascii="Arial" w:hAnsi="Arial" w:cs="Arial"/>
          <w:sz w:val="20"/>
          <w:szCs w:val="20"/>
        </w:rPr>
        <w:t xml:space="preserve"> kwietnia </w:t>
      </w:r>
      <w:r w:rsidRPr="005C158A">
        <w:rPr>
          <w:rFonts w:ascii="Arial" w:hAnsi="Arial" w:cs="Arial"/>
          <w:sz w:val="20"/>
          <w:szCs w:val="20"/>
        </w:rPr>
        <w:t>2008 r., V SA/</w:t>
      </w:r>
      <w:proofErr w:type="spellStart"/>
      <w:r w:rsidRPr="005C158A">
        <w:rPr>
          <w:rFonts w:ascii="Arial" w:hAnsi="Arial" w:cs="Arial"/>
          <w:sz w:val="20"/>
          <w:szCs w:val="20"/>
        </w:rPr>
        <w:t>Wa</w:t>
      </w:r>
      <w:proofErr w:type="spellEnd"/>
      <w:r w:rsidRPr="005C158A">
        <w:rPr>
          <w:rFonts w:ascii="Arial" w:hAnsi="Arial" w:cs="Arial"/>
          <w:sz w:val="20"/>
          <w:szCs w:val="20"/>
        </w:rPr>
        <w:t xml:space="preserve"> 367/08, </w:t>
      </w:r>
      <w:proofErr w:type="spellStart"/>
      <w:r w:rsidRPr="005C158A">
        <w:rPr>
          <w:rFonts w:ascii="Arial" w:hAnsi="Arial" w:cs="Arial"/>
          <w:sz w:val="20"/>
          <w:szCs w:val="20"/>
        </w:rPr>
        <w:t>Legalis</w:t>
      </w:r>
      <w:proofErr w:type="spellEnd"/>
      <w:r w:rsidRPr="005C158A">
        <w:rPr>
          <w:rFonts w:ascii="Arial" w:hAnsi="Arial" w:cs="Arial"/>
          <w:sz w:val="20"/>
          <w:szCs w:val="20"/>
        </w:rPr>
        <w:t xml:space="preserve">). Możliwe jest zatem, aby organ drugiej instancji, rozpatrując zażalenie na postanowienie wydane przez organ pierwszej instancji, zgodnie z art. 138 § 2 w zw. z art. 144 Kpa, </w:t>
      </w:r>
      <w:r w:rsidRPr="005C158A">
        <w:rPr>
          <w:rFonts w:ascii="Arial" w:hAnsi="Arial" w:cs="Arial"/>
          <w:sz w:val="20"/>
          <w:szCs w:val="20"/>
        </w:rPr>
        <w:lastRenderedPageBreak/>
        <w:t xml:space="preserve">wydał postanowienie o uchyleniu postanowienia i przekazaniu sprawy do ponownego rozpatrzenia. Obecnie sprzeciw nie przysługuje od postanowienia organu drugiej instancji wydanego na podstawie art. 138 § 2 w zw. z art. 144 Kpa ze względu na to, że ustawodawca w art. 64a </w:t>
      </w:r>
      <w:proofErr w:type="spellStart"/>
      <w:r w:rsidR="00331770" w:rsidRPr="005C158A">
        <w:rPr>
          <w:rFonts w:ascii="Arial" w:hAnsi="Arial" w:cs="Arial"/>
          <w:sz w:val="20"/>
          <w:szCs w:val="20"/>
        </w:rPr>
        <w:t>Ppsa</w:t>
      </w:r>
      <w:proofErr w:type="spellEnd"/>
      <w:r w:rsidRPr="005C158A">
        <w:rPr>
          <w:rFonts w:ascii="Arial" w:hAnsi="Arial" w:cs="Arial"/>
          <w:sz w:val="20"/>
          <w:szCs w:val="20"/>
        </w:rPr>
        <w:t xml:space="preserve"> wprost odnosi się tylko do decyzji (a nie postanowień) wydanych na podstawie tego przepisu (tj. art. 138 § 2 Kpa). Zaprezentowany pogląd w zakresie braku możliwości wniesienia sprzeciwu z art. 64a </w:t>
      </w:r>
      <w:proofErr w:type="spellStart"/>
      <w:r w:rsidR="007E23EC" w:rsidRPr="005C158A">
        <w:rPr>
          <w:rFonts w:ascii="Arial" w:hAnsi="Arial" w:cs="Arial"/>
          <w:sz w:val="20"/>
          <w:szCs w:val="20"/>
        </w:rPr>
        <w:t>Ppsa</w:t>
      </w:r>
      <w:proofErr w:type="spellEnd"/>
      <w:r w:rsidRPr="005C158A">
        <w:rPr>
          <w:rFonts w:ascii="Arial" w:hAnsi="Arial" w:cs="Arial"/>
          <w:sz w:val="20"/>
          <w:szCs w:val="20"/>
        </w:rPr>
        <w:t xml:space="preserve"> wobec postanowień </w:t>
      </w:r>
      <w:proofErr w:type="spellStart"/>
      <w:r w:rsidRPr="005C158A">
        <w:rPr>
          <w:rFonts w:ascii="Arial" w:hAnsi="Arial" w:cs="Arial"/>
          <w:sz w:val="20"/>
          <w:szCs w:val="20"/>
        </w:rPr>
        <w:t>kasatoryjnych</w:t>
      </w:r>
      <w:proofErr w:type="spellEnd"/>
      <w:r w:rsidRPr="005C158A">
        <w:rPr>
          <w:rFonts w:ascii="Arial" w:hAnsi="Arial" w:cs="Arial"/>
          <w:sz w:val="20"/>
          <w:szCs w:val="20"/>
        </w:rPr>
        <w:t xml:space="preserve"> został przyjęty w orzecznictwie </w:t>
      </w:r>
      <w:proofErr w:type="spellStart"/>
      <w:r w:rsidRPr="005C158A">
        <w:rPr>
          <w:rFonts w:ascii="Arial" w:hAnsi="Arial" w:cs="Arial"/>
          <w:sz w:val="20"/>
          <w:szCs w:val="20"/>
        </w:rPr>
        <w:t>sądowoadministracyjnym</w:t>
      </w:r>
      <w:proofErr w:type="spellEnd"/>
      <w:r w:rsidRPr="005C158A">
        <w:rPr>
          <w:rFonts w:ascii="Arial" w:hAnsi="Arial" w:cs="Arial"/>
          <w:sz w:val="20"/>
          <w:szCs w:val="20"/>
        </w:rPr>
        <w:t xml:space="preserve">. Składy orzekające wyraźnie wskazują, że za takim poglądem przemawiają argumenty tożsame z racjami wysłowionymi powyżej (por. post. NSA z 16 lutego 2018 r., sygn. akt I OZ 130/18, </w:t>
      </w:r>
      <w:proofErr w:type="spellStart"/>
      <w:r w:rsidRPr="005C158A">
        <w:rPr>
          <w:rFonts w:ascii="Arial" w:hAnsi="Arial" w:cs="Arial"/>
          <w:sz w:val="20"/>
          <w:szCs w:val="20"/>
        </w:rPr>
        <w:t>Legalis</w:t>
      </w:r>
      <w:proofErr w:type="spellEnd"/>
      <w:r w:rsidRPr="005C158A">
        <w:rPr>
          <w:rFonts w:ascii="Arial" w:hAnsi="Arial" w:cs="Arial"/>
          <w:sz w:val="20"/>
          <w:szCs w:val="20"/>
        </w:rPr>
        <w:t xml:space="preserve">; wyr. NSA z 25 maja 2018 r., sygn. akt I OSK 1519/18, </w:t>
      </w:r>
      <w:proofErr w:type="spellStart"/>
      <w:r w:rsidRPr="005C158A">
        <w:rPr>
          <w:rFonts w:ascii="Arial" w:hAnsi="Arial" w:cs="Arial"/>
          <w:sz w:val="20"/>
          <w:szCs w:val="20"/>
        </w:rPr>
        <w:t>Legalis</w:t>
      </w:r>
      <w:proofErr w:type="spellEnd"/>
      <w:r w:rsidRPr="005C158A">
        <w:rPr>
          <w:rFonts w:ascii="Arial" w:hAnsi="Arial" w:cs="Arial"/>
          <w:sz w:val="20"/>
          <w:szCs w:val="20"/>
        </w:rPr>
        <w:t xml:space="preserve">; wyr. NSA z 30 maja 2018 r., sygn. akt I GSK 2146/18, </w:t>
      </w:r>
      <w:proofErr w:type="spellStart"/>
      <w:r w:rsidRPr="005C158A">
        <w:rPr>
          <w:rFonts w:ascii="Arial" w:hAnsi="Arial" w:cs="Arial"/>
          <w:sz w:val="20"/>
          <w:szCs w:val="20"/>
        </w:rPr>
        <w:t>Legalis</w:t>
      </w:r>
      <w:proofErr w:type="spellEnd"/>
      <w:r w:rsidRPr="005C158A">
        <w:rPr>
          <w:rFonts w:ascii="Arial" w:hAnsi="Arial" w:cs="Arial"/>
          <w:sz w:val="20"/>
          <w:szCs w:val="20"/>
        </w:rPr>
        <w:t xml:space="preserve">; wyr. NSA z 13 grudnia 2018 r., sygn. akt II FSK 2408/18, </w:t>
      </w:r>
      <w:proofErr w:type="spellStart"/>
      <w:r w:rsidRPr="005C158A">
        <w:rPr>
          <w:rFonts w:ascii="Arial" w:hAnsi="Arial" w:cs="Arial"/>
          <w:sz w:val="20"/>
          <w:szCs w:val="20"/>
        </w:rPr>
        <w:t>Legalis</w:t>
      </w:r>
      <w:proofErr w:type="spellEnd"/>
      <w:r w:rsidRPr="005C158A">
        <w:rPr>
          <w:rFonts w:ascii="Arial" w:hAnsi="Arial" w:cs="Arial"/>
          <w:sz w:val="20"/>
          <w:szCs w:val="20"/>
        </w:rPr>
        <w:t>; wyr. WSA w Rzeszowie z 12 września 2018 r., sygn. akt II SA/</w:t>
      </w:r>
      <w:proofErr w:type="spellStart"/>
      <w:r w:rsidRPr="005C158A">
        <w:rPr>
          <w:rFonts w:ascii="Arial" w:hAnsi="Arial" w:cs="Arial"/>
          <w:sz w:val="20"/>
          <w:szCs w:val="20"/>
        </w:rPr>
        <w:t>Rz</w:t>
      </w:r>
      <w:proofErr w:type="spellEnd"/>
      <w:r w:rsidRPr="005C158A">
        <w:rPr>
          <w:rFonts w:ascii="Arial" w:hAnsi="Arial" w:cs="Arial"/>
          <w:sz w:val="20"/>
          <w:szCs w:val="20"/>
        </w:rPr>
        <w:t xml:space="preserve"> 559/18, </w:t>
      </w:r>
      <w:proofErr w:type="spellStart"/>
      <w:r w:rsidRPr="005C158A">
        <w:rPr>
          <w:rFonts w:ascii="Arial" w:hAnsi="Arial" w:cs="Arial"/>
          <w:sz w:val="20"/>
          <w:szCs w:val="20"/>
        </w:rPr>
        <w:t>Legalis</w:t>
      </w:r>
      <w:proofErr w:type="spellEnd"/>
      <w:r w:rsidRPr="005C158A">
        <w:rPr>
          <w:rFonts w:ascii="Arial" w:hAnsi="Arial" w:cs="Arial"/>
          <w:sz w:val="20"/>
          <w:szCs w:val="20"/>
        </w:rPr>
        <w:t>; wyr. WSA w Szczecinie z 14 czerwca 2018 r., sygn. akt II SA/</w:t>
      </w:r>
      <w:proofErr w:type="spellStart"/>
      <w:r w:rsidRPr="005C158A">
        <w:rPr>
          <w:rFonts w:ascii="Arial" w:hAnsi="Arial" w:cs="Arial"/>
          <w:sz w:val="20"/>
          <w:szCs w:val="20"/>
        </w:rPr>
        <w:t>Sz</w:t>
      </w:r>
      <w:proofErr w:type="spellEnd"/>
      <w:r w:rsidRPr="005C158A">
        <w:rPr>
          <w:rFonts w:ascii="Arial" w:hAnsi="Arial" w:cs="Arial"/>
          <w:sz w:val="20"/>
          <w:szCs w:val="20"/>
        </w:rPr>
        <w:t xml:space="preserve"> 434/18, </w:t>
      </w:r>
      <w:proofErr w:type="spellStart"/>
      <w:r w:rsidRPr="005C158A">
        <w:rPr>
          <w:rFonts w:ascii="Arial" w:hAnsi="Arial" w:cs="Arial"/>
          <w:sz w:val="20"/>
          <w:szCs w:val="20"/>
        </w:rPr>
        <w:t>Legalis</w:t>
      </w:r>
      <w:proofErr w:type="spellEnd"/>
      <w:r w:rsidRPr="005C158A">
        <w:rPr>
          <w:rFonts w:ascii="Arial" w:hAnsi="Arial" w:cs="Arial"/>
          <w:sz w:val="20"/>
          <w:szCs w:val="20"/>
        </w:rPr>
        <w:t xml:space="preserve">; wyr. WSA w Lublinie z 5 czerwca 2018 r., sygn. akt II SA/Lu 314/18, </w:t>
      </w:r>
      <w:proofErr w:type="spellStart"/>
      <w:r w:rsidRPr="005C158A">
        <w:rPr>
          <w:rFonts w:ascii="Arial" w:hAnsi="Arial" w:cs="Arial"/>
          <w:sz w:val="20"/>
          <w:szCs w:val="20"/>
        </w:rPr>
        <w:t>Legalis</w:t>
      </w:r>
      <w:proofErr w:type="spellEnd"/>
      <w:r w:rsidRPr="005C158A">
        <w:rPr>
          <w:rFonts w:ascii="Arial" w:hAnsi="Arial" w:cs="Arial"/>
          <w:sz w:val="20"/>
          <w:szCs w:val="20"/>
        </w:rPr>
        <w:t>). W związku z tym nie jest uzasadnione rozróżnienie pomiędzy decyzjami kasacyjnymi a postanowieniami kasacyjnymi. Stąd wprowadzona zmiana w ww. zakresie.</w:t>
      </w:r>
    </w:p>
    <w:p w14:paraId="47BD3583" w14:textId="77777777" w:rsidR="00DC6DF4" w:rsidRPr="005C158A" w:rsidRDefault="00DC6DF4" w:rsidP="00DC6DF4">
      <w:pPr>
        <w:pStyle w:val="Nagwek2"/>
        <w:spacing w:before="120" w:after="120" w:line="360" w:lineRule="auto"/>
        <w:jc w:val="both"/>
        <w:rPr>
          <w:rFonts w:ascii="Arial" w:hAnsi="Arial" w:cs="Arial"/>
          <w:sz w:val="20"/>
          <w:szCs w:val="20"/>
        </w:rPr>
      </w:pPr>
      <w:bookmarkStart w:id="65" w:name="_Toc136602632"/>
      <w:bookmarkStart w:id="66" w:name="_Toc138329770"/>
      <w:r w:rsidRPr="005C158A">
        <w:rPr>
          <w:rFonts w:ascii="Arial" w:hAnsi="Arial" w:cs="Arial"/>
          <w:color w:val="auto"/>
          <w:sz w:val="20"/>
          <w:szCs w:val="20"/>
        </w:rPr>
        <w:t>Ustawa z dnia 22 maja 2003 r. o ubezpieczeniach obowiązkowych, Ubezpieczeniowym Funduszu Gwarancyjnym i Polskim Biurze Ubezpieczycieli Komunikacyjnych</w:t>
      </w:r>
      <w:bookmarkEnd w:id="65"/>
      <w:bookmarkEnd w:id="66"/>
    </w:p>
    <w:p w14:paraId="40BAAC3F"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Zmiana proponowana w </w:t>
      </w:r>
      <w:r w:rsidRPr="005C158A">
        <w:rPr>
          <w:rFonts w:ascii="Arial" w:eastAsia="Times New Roman" w:hAnsi="Arial" w:cs="Arial"/>
          <w:b/>
          <w:bCs/>
          <w:sz w:val="20"/>
          <w:szCs w:val="20"/>
          <w:lang w:eastAsia="pl-PL"/>
        </w:rPr>
        <w:t>art. 102a ust. 5a</w:t>
      </w:r>
      <w:r w:rsidRPr="005C158A">
        <w:rPr>
          <w:rFonts w:ascii="Arial" w:eastAsia="Times New Roman" w:hAnsi="Arial" w:cs="Arial"/>
          <w:sz w:val="20"/>
          <w:szCs w:val="20"/>
          <w:lang w:eastAsia="pl-PL"/>
        </w:rPr>
        <w:t xml:space="preserve"> ustawy z dnia 22 maja 2003 r. o ubezpieczeniach obowiązkowych, Ubezpieczeniowym Funduszu Gwarancyjnym i Polskim Biurze Ubezpieczycieli Komunikacyjnych ma na celu zapewnienie komplementarności przetwarzanych przez Fundusz danych w zakresie niezbędnym do identyfikacji, weryfikacji i przeciwdziałania naruszeniu interesów uczestników rynku. Przyjęcie zmiany polegającej na dostępie Funduszu do danych zgromadzonych w Ewidencji Deweloperskiego Funduszu Gwarancyjnego oraz Portalu Cen Mieszkań pozwoli zwiększyć efektywność ochrony interesów uczestników zarówno rynku ubezpieczeniowego, jak i mieszkaniowego, co ma szczególne znaczenie w przypadku nabywania nieruchomości z pomocą środków pochodzących z kredytów hipotecznych i wymogów banków w zakresie obligatoryjności posiadania ochrony ubezpieczeniowej nabywanej nieruchomości.</w:t>
      </w:r>
    </w:p>
    <w:p w14:paraId="258C3CD0" w14:textId="38E16844" w:rsidR="008713DC" w:rsidRPr="005C158A" w:rsidRDefault="008713DC" w:rsidP="0011422D">
      <w:pPr>
        <w:pStyle w:val="Nagwek2"/>
        <w:spacing w:before="120" w:after="120" w:line="360" w:lineRule="auto"/>
        <w:jc w:val="both"/>
        <w:rPr>
          <w:rFonts w:ascii="Arial" w:hAnsi="Arial" w:cs="Arial"/>
          <w:sz w:val="20"/>
          <w:szCs w:val="20"/>
        </w:rPr>
      </w:pPr>
      <w:bookmarkStart w:id="67" w:name="_Toc138329771"/>
      <w:r w:rsidRPr="005C158A">
        <w:rPr>
          <w:rFonts w:ascii="Arial" w:hAnsi="Arial" w:cs="Arial"/>
          <w:color w:val="auto"/>
          <w:sz w:val="20"/>
          <w:szCs w:val="20"/>
        </w:rPr>
        <w:t>Ustawa z dnia 16 lipca 2004 r. – Prawo telekomunikacyjne</w:t>
      </w:r>
      <w:bookmarkEnd w:id="67"/>
    </w:p>
    <w:p w14:paraId="7776162D" w14:textId="29CE9835" w:rsidR="008713DC" w:rsidRPr="005C158A" w:rsidRDefault="00331770" w:rsidP="0011422D">
      <w:pPr>
        <w:spacing w:after="120" w:line="360" w:lineRule="auto"/>
        <w:jc w:val="both"/>
        <w:rPr>
          <w:rFonts w:ascii="Arial" w:eastAsia="Times New Roman" w:hAnsi="Arial" w:cs="Arial"/>
          <w:sz w:val="20"/>
          <w:szCs w:val="20"/>
        </w:rPr>
      </w:pPr>
      <w:r w:rsidRPr="005C158A">
        <w:rPr>
          <w:rFonts w:ascii="Arial" w:eastAsia="Times New Roman" w:hAnsi="Arial" w:cs="Arial"/>
          <w:sz w:val="20"/>
          <w:szCs w:val="20"/>
          <w:lang w:eastAsia="pl-PL"/>
        </w:rPr>
        <w:t xml:space="preserve">W związku z informacjami przekazanymi przez Urząd Komunikacji Elektronicznej (dalej: UKE) zaproponowano </w:t>
      </w:r>
      <w:r w:rsidR="008713DC" w:rsidRPr="005C158A">
        <w:rPr>
          <w:rFonts w:ascii="Arial" w:eastAsia="Times New Roman" w:hAnsi="Arial" w:cs="Arial"/>
          <w:sz w:val="20"/>
          <w:szCs w:val="20"/>
          <w:lang w:eastAsia="pl-PL"/>
        </w:rPr>
        <w:t>wprowadzenie zmiany polegającej na braku konieczności uzyskania przez Urząd Komunikacji Elektronicznej (dalej „UKE”) publicznej zgody strony na doręczenie jej załączników do decyzji na innym niż papier trwałym nośniku informacji</w:t>
      </w:r>
      <w:r w:rsidRPr="005C158A">
        <w:rPr>
          <w:rFonts w:ascii="Arial" w:eastAsia="Times New Roman" w:hAnsi="Arial" w:cs="Arial"/>
          <w:sz w:val="20"/>
          <w:szCs w:val="20"/>
          <w:lang w:eastAsia="pl-PL"/>
        </w:rPr>
        <w:t>, o którym mowa w nowowprowadzanym art. 109 § 3 i 4 Kpa,</w:t>
      </w:r>
      <w:r w:rsidR="008713DC" w:rsidRPr="005C158A">
        <w:rPr>
          <w:rFonts w:ascii="Arial" w:eastAsia="Times New Roman" w:hAnsi="Arial" w:cs="Arial"/>
          <w:sz w:val="20"/>
          <w:szCs w:val="20"/>
          <w:lang w:eastAsia="pl-PL"/>
        </w:rPr>
        <w:t xml:space="preserve">, jeżeli decyzja została wydana w związku z prowadzoną przez stronę działalnością gospodarczą, oraz jeżeli ze względów technicznych doręczenie załączników do decyzji w postaci papierowej jest utrudnione. </w:t>
      </w:r>
    </w:p>
    <w:p w14:paraId="42B6A78F" w14:textId="77777777" w:rsidR="008713DC" w:rsidRPr="005C158A" w:rsidRDefault="008713DC" w:rsidP="0011422D">
      <w:pPr>
        <w:spacing w:after="120" w:line="360" w:lineRule="auto"/>
        <w:jc w:val="both"/>
        <w:rPr>
          <w:rFonts w:ascii="Arial" w:eastAsia="Times New Roman" w:hAnsi="Arial" w:cs="Arial"/>
          <w:sz w:val="20"/>
          <w:szCs w:val="20"/>
        </w:rPr>
      </w:pPr>
      <w:r w:rsidRPr="005C158A">
        <w:rPr>
          <w:rFonts w:ascii="Arial" w:eastAsia="Times New Roman" w:hAnsi="Arial" w:cs="Arial"/>
          <w:sz w:val="20"/>
          <w:szCs w:val="20"/>
          <w:lang w:eastAsia="pl-PL"/>
        </w:rPr>
        <w:t xml:space="preserve">Przedmiot działalności Prezesa UKE dotyczy różnorodnych spraw, często o skomplikowanym i technicznym charakterze, których załatwienie w decyzji administracyjnej wymaga sporządzenia załącznika (załączników). Treść tych załączników obejmuje nie tylko tekst, lecz również informacje przedstawione w alternatywny sposób. W szczególności przez utrudnienia należy rozumieć to, że w pewnych przypadkach konieczne jest załączenie do decyzji baz danych, których nie da się zawrzeć w </w:t>
      </w:r>
      <w:r w:rsidRPr="005C158A">
        <w:rPr>
          <w:rFonts w:ascii="Arial" w:eastAsia="Times New Roman" w:hAnsi="Arial" w:cs="Arial"/>
          <w:sz w:val="20"/>
          <w:szCs w:val="20"/>
          <w:lang w:eastAsia="pl-PL"/>
        </w:rPr>
        <w:lastRenderedPageBreak/>
        <w:t>formie papierowych wydruków (np. pliki .</w:t>
      </w:r>
      <w:proofErr w:type="spellStart"/>
      <w:r w:rsidRPr="005C158A">
        <w:rPr>
          <w:rFonts w:ascii="Arial" w:eastAsia="Times New Roman" w:hAnsi="Arial" w:cs="Arial"/>
          <w:sz w:val="20"/>
          <w:szCs w:val="20"/>
          <w:lang w:eastAsia="pl-PL"/>
        </w:rPr>
        <w:t>dsv</w:t>
      </w:r>
      <w:proofErr w:type="spellEnd"/>
      <w:r w:rsidRPr="005C158A">
        <w:rPr>
          <w:rFonts w:ascii="Arial" w:eastAsia="Times New Roman" w:hAnsi="Arial" w:cs="Arial"/>
          <w:sz w:val="20"/>
          <w:szCs w:val="20"/>
          <w:lang w:eastAsia="pl-PL"/>
        </w:rPr>
        <w:t>), gdyż wydrukowanie danych w takim formacie spowodowałoby brak możliwości odczytania wzajemnych relacji między poszczególnymi danymi.</w:t>
      </w:r>
    </w:p>
    <w:p w14:paraId="61EE14C4" w14:textId="3AE5A983" w:rsidR="008713DC" w:rsidRPr="005C158A" w:rsidRDefault="008713DC" w:rsidP="0011422D">
      <w:pPr>
        <w:spacing w:after="120" w:line="360" w:lineRule="auto"/>
        <w:jc w:val="both"/>
        <w:rPr>
          <w:rFonts w:ascii="Arial" w:eastAsia="Times New Roman" w:hAnsi="Arial" w:cs="Arial"/>
          <w:sz w:val="20"/>
          <w:szCs w:val="20"/>
        </w:rPr>
      </w:pPr>
      <w:r w:rsidRPr="005C158A">
        <w:rPr>
          <w:rFonts w:ascii="Arial" w:eastAsia="Times New Roman" w:hAnsi="Arial" w:cs="Arial"/>
          <w:sz w:val="20"/>
          <w:szCs w:val="20"/>
          <w:lang w:eastAsia="pl-PL"/>
        </w:rPr>
        <w:t xml:space="preserve">Zaproponowany przepis wprowadza wyjątek od reguły, którą wyrażono w Kpa w zakresie uzyskania zgody strony. Niemniej jednak, rozwiązanie to jest zasadne, ponieważ skierowane zostało do przedsiębiorców, którzy jako profesjonalne podmioty w obrocie gospodarczym, posiadają narzędzia elektroniczne niezbędne do odczytania załączników na trwałym nośniku informacji. W związku z tym, zawężenie to nie stanowi zagrożenia dla uprawnień stron. </w:t>
      </w:r>
    </w:p>
    <w:p w14:paraId="520C53B0" w14:textId="7DAD383E" w:rsidR="008713DC" w:rsidRPr="005C158A" w:rsidRDefault="008713DC"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Ponadto przyjęcie niniejszej zmiany wpisze się w obowiązujący trend dążenia do informatyzacji działalności podmiotów administracji publicznej mający na celu m. in. zwiększenie sprawności organów administracyjnych oraz redukcję kosztów ich funkcjonowania wskutek szerokiego zastosowania technik komputerowych.   </w:t>
      </w:r>
    </w:p>
    <w:p w14:paraId="22BCFC12" w14:textId="6C70442A" w:rsidR="004A47D6" w:rsidRPr="005C158A" w:rsidRDefault="004A47D6" w:rsidP="00401710">
      <w:pPr>
        <w:pStyle w:val="Nagwek2"/>
        <w:spacing w:before="120" w:after="120" w:line="360" w:lineRule="auto"/>
        <w:jc w:val="both"/>
        <w:rPr>
          <w:rFonts w:ascii="Arial" w:hAnsi="Arial" w:cs="Arial"/>
          <w:color w:val="auto"/>
          <w:sz w:val="20"/>
          <w:szCs w:val="20"/>
        </w:rPr>
      </w:pPr>
      <w:bookmarkStart w:id="68" w:name="_Toc138329772"/>
      <w:r w:rsidRPr="005C158A">
        <w:rPr>
          <w:rFonts w:ascii="Arial" w:hAnsi="Arial" w:cs="Arial"/>
          <w:color w:val="auto"/>
          <w:sz w:val="20"/>
          <w:szCs w:val="20"/>
        </w:rPr>
        <w:t>Ustawa z dnia 7 lipca 2005 r. o ubezpieczeniach upraw rolnych i zwierząt gospodarskich</w:t>
      </w:r>
      <w:bookmarkEnd w:id="68"/>
    </w:p>
    <w:p w14:paraId="0D52385A" w14:textId="29B3B943" w:rsidR="004A47D6" w:rsidRPr="005C158A" w:rsidRDefault="004A47D6" w:rsidP="004A47D6">
      <w:pPr>
        <w:spacing w:before="120" w:after="120" w:line="360" w:lineRule="auto"/>
        <w:jc w:val="both"/>
        <w:rPr>
          <w:rFonts w:ascii="Arial" w:hAnsi="Arial" w:cs="Arial"/>
          <w:sz w:val="20"/>
          <w:szCs w:val="20"/>
        </w:rPr>
      </w:pPr>
      <w:r w:rsidRPr="005C158A">
        <w:rPr>
          <w:rFonts w:ascii="Arial" w:hAnsi="Arial" w:cs="Arial"/>
          <w:sz w:val="20"/>
          <w:szCs w:val="20"/>
        </w:rPr>
        <w:t xml:space="preserve">W związku z uchyleniem rozporządzenia Parlamentu Europejskiego i Rady (UE) nr 1307/2013 z dnia 17 grudnia 2013 r. ustanawiającego przepisy dotyczące płatności bezpośrednich dla rolników na podstawie systemów wsparcia w ramach wspólnej polityki rolnej oraz uchylającego rozporządzenie Rady (WE) nr 637/2008 i rozporządzenie Rady (WE) nr 73/2009 (Dz. Urz. UE L 347 z 20.12.2013, str. 608), zostały zmienione art. 2 pkt 2 oraz art. 10c ust. 1 ustawy poprzez odniesienie się do rozporządzenia Parlamentu Europejskiego i Rady (UE) 2021/2115 z dnia 2 grudnia 2021 r. ustanawiającego przepisy dotyczące wsparcia planów strategicznych sporządzanych przez państwa członkowskie w ramach wspólnej polityki rolnej (planów strategicznych WPR) i finansowanych z Europejskiego Funduszu Rolniczego Gwarancji (EFRG) i z Europejskiego Funduszu Rolnego na rzecz Rozwoju Obszarów Wiejskich (EFRROW) oraz uchylającego rozporządzenie (UE) nr 1305/2013 i (UE) nr 1307/2013 (Dz. Urz. UE L 435 z 06.12.2021, str. 1, z </w:t>
      </w:r>
      <w:proofErr w:type="spellStart"/>
      <w:r w:rsidRPr="005C158A">
        <w:rPr>
          <w:rFonts w:ascii="Arial" w:hAnsi="Arial" w:cs="Arial"/>
          <w:sz w:val="20"/>
          <w:szCs w:val="20"/>
        </w:rPr>
        <w:t>późn</w:t>
      </w:r>
      <w:proofErr w:type="spellEnd"/>
      <w:r w:rsidRPr="005C158A">
        <w:rPr>
          <w:rFonts w:ascii="Arial" w:hAnsi="Arial" w:cs="Arial"/>
          <w:sz w:val="20"/>
          <w:szCs w:val="20"/>
        </w:rPr>
        <w:t>. zm.).</w:t>
      </w:r>
    </w:p>
    <w:p w14:paraId="01ACE42E" w14:textId="620C01F3" w:rsidR="003D3EEC" w:rsidRPr="005C158A" w:rsidRDefault="003D3EEC" w:rsidP="003D3EEC">
      <w:pPr>
        <w:pStyle w:val="Nagwek2"/>
        <w:spacing w:before="120" w:after="120" w:line="360" w:lineRule="auto"/>
        <w:jc w:val="both"/>
        <w:rPr>
          <w:rFonts w:ascii="Arial" w:hAnsi="Arial" w:cs="Arial"/>
          <w:color w:val="auto"/>
          <w:sz w:val="20"/>
          <w:szCs w:val="20"/>
        </w:rPr>
      </w:pPr>
      <w:bookmarkStart w:id="69" w:name="_Toc138329773"/>
      <w:r w:rsidRPr="005C158A">
        <w:rPr>
          <w:rFonts w:ascii="Arial" w:hAnsi="Arial" w:cs="Arial"/>
          <w:color w:val="auto"/>
          <w:sz w:val="20"/>
          <w:szCs w:val="20"/>
        </w:rPr>
        <w:t>Ustawa z dnia 28 lipca 2005 r. o kosztach sądowych w sprawach cywilnych</w:t>
      </w:r>
      <w:bookmarkEnd w:id="69"/>
    </w:p>
    <w:p w14:paraId="54D00AF6" w14:textId="341AF7B8" w:rsidR="003D3EEC" w:rsidRPr="005C158A" w:rsidRDefault="003D3EEC" w:rsidP="003D3EEC">
      <w:pPr>
        <w:spacing w:before="120" w:after="120" w:line="360" w:lineRule="auto"/>
        <w:jc w:val="both"/>
        <w:rPr>
          <w:rFonts w:ascii="Arial" w:hAnsi="Arial" w:cs="Arial"/>
          <w:sz w:val="20"/>
          <w:szCs w:val="20"/>
        </w:rPr>
      </w:pPr>
      <w:r w:rsidRPr="005C158A">
        <w:rPr>
          <w:rFonts w:ascii="Arial" w:hAnsi="Arial" w:cs="Arial"/>
          <w:sz w:val="20"/>
          <w:szCs w:val="20"/>
        </w:rPr>
        <w:t xml:space="preserve">Zmiana w art. 96 ust. 1 pkt 6 w ustawie o kosztach sądowych w sprawach cywilnych jest konieczna dla usunięcia deficytu regulacji prawnych odnoszących się do zasad procesowych uczestnictwa Rzecznika MŚP w postępowaniach przed sądami powszechnymi i Sądem Najwyższym, w ramach, których Rzecznik realizuje swoje ustawowe zadania. </w:t>
      </w:r>
    </w:p>
    <w:p w14:paraId="4C415F46" w14:textId="031A55DA" w:rsidR="003D3EEC" w:rsidRPr="005C158A" w:rsidRDefault="003D3EEC" w:rsidP="003D3EEC">
      <w:pPr>
        <w:spacing w:before="120" w:after="120" w:line="360" w:lineRule="auto"/>
        <w:jc w:val="both"/>
        <w:rPr>
          <w:rFonts w:ascii="Arial" w:hAnsi="Arial" w:cs="Arial"/>
          <w:sz w:val="20"/>
          <w:szCs w:val="20"/>
        </w:rPr>
      </w:pPr>
      <w:r w:rsidRPr="005C158A">
        <w:rPr>
          <w:rFonts w:ascii="Arial" w:hAnsi="Arial" w:cs="Arial"/>
          <w:sz w:val="20"/>
          <w:szCs w:val="20"/>
        </w:rPr>
        <w:t xml:space="preserve">W praktyce funkcjonowania Rzecznika MŚP zarysowały się istotne problemy w zakresie prawidłowej wykładni przepisów prawa oraz charakteru procesowego instytucji Rzecznika w kontekście zasad jego uczestnictwa w postępowaniach sądowych oraz zwolnienia go od kosztów sądowych. Najskuteczniejszą metodą przeciwdziałania takim sytuacjom w przyszłości jest doprecyzowanie art. 96 ust. 1 pkt 6 </w:t>
      </w:r>
      <w:proofErr w:type="spellStart"/>
      <w:r w:rsidRPr="005C158A">
        <w:rPr>
          <w:rFonts w:ascii="Arial" w:hAnsi="Arial" w:cs="Arial"/>
          <w:sz w:val="20"/>
          <w:szCs w:val="20"/>
        </w:rPr>
        <w:t>ww</w:t>
      </w:r>
      <w:proofErr w:type="spellEnd"/>
      <w:r w:rsidRPr="005C158A">
        <w:rPr>
          <w:rFonts w:ascii="Arial" w:hAnsi="Arial" w:cs="Arial"/>
          <w:sz w:val="20"/>
          <w:szCs w:val="20"/>
        </w:rPr>
        <w:t xml:space="preserve"> ustawy. Realizacja niniejszego postulatu pozwoli na skuteczniejszą ochronę praw ogółu przedsiębiorców, realizowaną dzięki interwencjom Rzecznika MŚP o charakterze procesowym.</w:t>
      </w:r>
    </w:p>
    <w:p w14:paraId="5E6F53D9" w14:textId="3EFA4885" w:rsidR="00F1580D" w:rsidRPr="005C158A" w:rsidRDefault="001A4179" w:rsidP="00401710">
      <w:pPr>
        <w:pStyle w:val="Nagwek2"/>
        <w:spacing w:before="120" w:after="120" w:line="360" w:lineRule="auto"/>
        <w:jc w:val="both"/>
        <w:rPr>
          <w:rFonts w:ascii="Arial" w:hAnsi="Arial" w:cs="Arial"/>
          <w:color w:val="auto"/>
          <w:sz w:val="20"/>
          <w:szCs w:val="20"/>
        </w:rPr>
      </w:pPr>
      <w:r w:rsidRPr="005C158A">
        <w:rPr>
          <w:rFonts w:ascii="Arial" w:hAnsi="Arial" w:cs="Arial"/>
          <w:color w:val="auto"/>
          <w:sz w:val="20"/>
          <w:szCs w:val="20"/>
        </w:rPr>
        <w:lastRenderedPageBreak/>
        <w:t xml:space="preserve"> </w:t>
      </w:r>
      <w:bookmarkStart w:id="70" w:name="_Toc138329774"/>
      <w:r w:rsidR="00C30E1B" w:rsidRPr="005C158A">
        <w:rPr>
          <w:rFonts w:ascii="Arial" w:hAnsi="Arial" w:cs="Arial"/>
          <w:color w:val="auto"/>
          <w:sz w:val="20"/>
          <w:szCs w:val="20"/>
        </w:rPr>
        <w:t>Ustawa</w:t>
      </w:r>
      <w:r w:rsidR="00F1580D" w:rsidRPr="005C158A">
        <w:rPr>
          <w:rFonts w:ascii="Arial" w:hAnsi="Arial" w:cs="Arial"/>
          <w:color w:val="auto"/>
          <w:sz w:val="20"/>
          <w:szCs w:val="20"/>
        </w:rPr>
        <w:t xml:space="preserve"> z dnia 18 października 2006 r. o wyrobie napojów spirytusowych oraz o rejestracji i</w:t>
      </w:r>
      <w:r w:rsidR="00295358" w:rsidRPr="005C158A">
        <w:rPr>
          <w:rFonts w:ascii="Arial" w:hAnsi="Arial" w:cs="Arial"/>
          <w:color w:val="auto"/>
          <w:sz w:val="20"/>
          <w:szCs w:val="20"/>
        </w:rPr>
        <w:t> </w:t>
      </w:r>
      <w:r w:rsidR="00F1580D" w:rsidRPr="005C158A">
        <w:rPr>
          <w:rFonts w:ascii="Arial" w:hAnsi="Arial" w:cs="Arial"/>
          <w:color w:val="auto"/>
          <w:sz w:val="20"/>
          <w:szCs w:val="20"/>
        </w:rPr>
        <w:t>ochronie oznaczeń geograficznych napojów spirytusowych</w:t>
      </w:r>
      <w:bookmarkEnd w:id="70"/>
    </w:p>
    <w:p w14:paraId="006D31C6" w14:textId="77777777" w:rsidR="00351FD3" w:rsidRPr="005C158A" w:rsidRDefault="00434217" w:rsidP="00401710">
      <w:pPr>
        <w:spacing w:before="120" w:after="120" w:line="360" w:lineRule="auto"/>
        <w:jc w:val="both"/>
        <w:rPr>
          <w:rFonts w:ascii="Arial" w:hAnsi="Arial" w:cs="Arial"/>
          <w:sz w:val="20"/>
          <w:szCs w:val="20"/>
        </w:rPr>
      </w:pPr>
      <w:r w:rsidRPr="005C158A">
        <w:rPr>
          <w:rFonts w:ascii="Arial" w:hAnsi="Arial" w:cs="Arial"/>
          <w:bCs/>
          <w:iCs/>
          <w:sz w:val="20"/>
          <w:szCs w:val="20"/>
        </w:rPr>
        <w:t xml:space="preserve">Zmiana w niniejszej ustawie dotyczy odstąpienia od zasady dwuinstancyjności. </w:t>
      </w:r>
      <w:r w:rsidR="00F1580D" w:rsidRPr="005C158A">
        <w:rPr>
          <w:rFonts w:ascii="Arial" w:hAnsi="Arial" w:cs="Arial"/>
          <w:sz w:val="20"/>
          <w:szCs w:val="20"/>
        </w:rPr>
        <w:t>Istnieją postępowania, w których decyzje są wydawane w oparciu o żądanie strony, w takich przypadkach praktycznie nie występuje zakres uznaniowości organu. Stąd organy</w:t>
      </w:r>
      <w:r w:rsidR="00C30E1B" w:rsidRPr="005C158A">
        <w:rPr>
          <w:rFonts w:ascii="Arial" w:hAnsi="Arial" w:cs="Arial"/>
          <w:sz w:val="20"/>
          <w:szCs w:val="20"/>
        </w:rPr>
        <w:t xml:space="preserve"> </w:t>
      </w:r>
      <w:r w:rsidR="00F1580D" w:rsidRPr="005C158A">
        <w:rPr>
          <w:rFonts w:ascii="Arial" w:hAnsi="Arial" w:cs="Arial"/>
          <w:sz w:val="20"/>
          <w:szCs w:val="20"/>
        </w:rPr>
        <w:t>odwoławcze bardzo rzadko albo w ogóle nie zmieniają decyzji zapadłych w I instancji. W takich przypadkach utrzymywanie dwuinstancyjności jawi się jako pewna fikcja, która niepotrzebnie angażuje czas strony, a także czas i również środki materialne organów administracji. Jest tak w przypadku zmienianej ustawy z dnia 18 października 2006 r. o wyrobie napojów spirytusowych oraz o rejestracji i ochronie oznaczeń geograficznych napojów spirytusowych</w:t>
      </w:r>
      <w:r w:rsidR="00F1580D" w:rsidRPr="005C158A">
        <w:rPr>
          <w:rFonts w:ascii="Arial" w:hAnsi="Arial" w:cs="Arial"/>
          <w:b/>
          <w:sz w:val="20"/>
          <w:szCs w:val="20"/>
        </w:rPr>
        <w:t xml:space="preserve">. Art. 9a </w:t>
      </w:r>
      <w:r w:rsidR="002D6405" w:rsidRPr="005C158A">
        <w:rPr>
          <w:rFonts w:ascii="Arial" w:hAnsi="Arial" w:cs="Arial"/>
          <w:bCs/>
          <w:sz w:val="20"/>
          <w:szCs w:val="20"/>
        </w:rPr>
        <w:t>tej ustawy</w:t>
      </w:r>
      <w:r w:rsidR="002D6405" w:rsidRPr="005C158A">
        <w:rPr>
          <w:rFonts w:ascii="Arial" w:hAnsi="Arial" w:cs="Arial"/>
          <w:b/>
          <w:sz w:val="20"/>
          <w:szCs w:val="20"/>
        </w:rPr>
        <w:t xml:space="preserve"> </w:t>
      </w:r>
      <w:r w:rsidR="00F1580D" w:rsidRPr="005C158A">
        <w:rPr>
          <w:rFonts w:ascii="Arial" w:hAnsi="Arial" w:cs="Arial"/>
          <w:bCs/>
          <w:sz w:val="20"/>
          <w:szCs w:val="20"/>
        </w:rPr>
        <w:t>reguluje</w:t>
      </w:r>
      <w:r w:rsidR="00F1580D" w:rsidRPr="005C158A">
        <w:rPr>
          <w:rFonts w:ascii="Arial" w:hAnsi="Arial" w:cs="Arial"/>
          <w:b/>
          <w:sz w:val="20"/>
          <w:szCs w:val="20"/>
        </w:rPr>
        <w:t xml:space="preserve"> </w:t>
      </w:r>
      <w:r w:rsidR="00F1580D" w:rsidRPr="005C158A">
        <w:rPr>
          <w:rFonts w:ascii="Arial" w:hAnsi="Arial" w:cs="Arial"/>
          <w:sz w:val="20"/>
          <w:szCs w:val="20"/>
        </w:rPr>
        <w:t>postępowanie w sprawie wykreślenia przedsiębiorcy z rejestru działalności w zakresie wyrobu lub rozlewu napojów spirytusowych na jego wniosek. Postępowanie to ma na celu spełnienie w całości żądania przedsiębiorcy.</w:t>
      </w:r>
      <w:r w:rsidR="002D6405" w:rsidRPr="005C158A">
        <w:rPr>
          <w:rFonts w:ascii="Arial" w:hAnsi="Arial" w:cs="Arial"/>
          <w:sz w:val="20"/>
          <w:szCs w:val="20"/>
        </w:rPr>
        <w:t xml:space="preserve"> </w:t>
      </w:r>
    </w:p>
    <w:p w14:paraId="57E77CD0" w14:textId="2632A0CD" w:rsidR="006062D5" w:rsidRPr="005C158A" w:rsidRDefault="00351FD3" w:rsidP="00401710">
      <w:pPr>
        <w:spacing w:before="120" w:after="120" w:line="360" w:lineRule="auto"/>
        <w:jc w:val="both"/>
        <w:rPr>
          <w:rFonts w:ascii="Arial" w:hAnsi="Arial" w:cs="Arial"/>
          <w:sz w:val="20"/>
          <w:szCs w:val="20"/>
        </w:rPr>
      </w:pPr>
      <w:r w:rsidRPr="005C158A">
        <w:rPr>
          <w:rFonts w:ascii="Arial" w:hAnsi="Arial" w:cs="Arial"/>
          <w:sz w:val="20"/>
          <w:szCs w:val="20"/>
        </w:rPr>
        <w:t>W  przypadku wydania decyzji, o której mowa w art. 8 ust. 1, Dyrektor Generalny KOWR ma możliwość z urzędu wykreślenia przedsiębiorcy z rejestru (wynika to z art. 9a pkt 2 niniejszej ustawy). Zatem w tej sprawie nie jest zasadne wydawanie decyzji o wykreśleniu wpisu z rejestru. Wykreślenie wpisu powinno następować w drodze czynności materialno-technicznej.</w:t>
      </w:r>
      <w:r w:rsidR="00331770" w:rsidRPr="005C158A">
        <w:rPr>
          <w:rFonts w:ascii="Arial" w:hAnsi="Arial" w:cs="Arial"/>
          <w:sz w:val="20"/>
          <w:szCs w:val="20"/>
        </w:rPr>
        <w:t xml:space="preserve"> </w:t>
      </w:r>
      <w:r w:rsidR="002D6405" w:rsidRPr="005C158A">
        <w:rPr>
          <w:rFonts w:ascii="Arial" w:hAnsi="Arial" w:cs="Arial"/>
          <w:sz w:val="20"/>
          <w:szCs w:val="20"/>
        </w:rPr>
        <w:t xml:space="preserve">Dlatego proponuje się w tym zakresie odejście od zasady dwuinstancyjności. </w:t>
      </w:r>
    </w:p>
    <w:p w14:paraId="09920A1D" w14:textId="11C53BB4" w:rsidR="006A0B22" w:rsidRPr="005C158A" w:rsidRDefault="006A0B22" w:rsidP="006A0B22">
      <w:pPr>
        <w:pStyle w:val="Nagwek2"/>
        <w:spacing w:before="120" w:after="120" w:line="360" w:lineRule="auto"/>
        <w:jc w:val="both"/>
        <w:rPr>
          <w:rFonts w:ascii="Arial" w:hAnsi="Arial" w:cs="Arial"/>
          <w:color w:val="auto"/>
          <w:sz w:val="20"/>
          <w:szCs w:val="20"/>
        </w:rPr>
      </w:pPr>
      <w:bookmarkStart w:id="71" w:name="_Hlk131493613"/>
      <w:bookmarkStart w:id="72" w:name="_Toc138329775"/>
      <w:r w:rsidRPr="005C158A">
        <w:rPr>
          <w:rFonts w:ascii="Arial" w:hAnsi="Arial" w:cs="Arial"/>
          <w:color w:val="auto"/>
          <w:sz w:val="20"/>
          <w:szCs w:val="20"/>
        </w:rPr>
        <w:t>Ustawa z dnia 16 lutego 2007 r. o ochronie konkurencji i konsumentów</w:t>
      </w:r>
      <w:bookmarkEnd w:id="71"/>
      <w:bookmarkEnd w:id="72"/>
    </w:p>
    <w:p w14:paraId="3623FB58" w14:textId="2FDC4C36" w:rsidR="00082FF5" w:rsidRPr="005C158A" w:rsidRDefault="00082FF5" w:rsidP="0011422D">
      <w:pPr>
        <w:pStyle w:val="Akapitzlist"/>
        <w:numPr>
          <w:ilvl w:val="0"/>
          <w:numId w:val="31"/>
        </w:numPr>
        <w:spacing w:before="120" w:after="120" w:line="360" w:lineRule="auto"/>
        <w:ind w:left="0" w:hanging="11"/>
        <w:jc w:val="both"/>
        <w:rPr>
          <w:rFonts w:ascii="Arial" w:hAnsi="Arial" w:cs="Arial"/>
          <w:sz w:val="20"/>
          <w:szCs w:val="20"/>
        </w:rPr>
      </w:pPr>
      <w:r w:rsidRPr="005C158A">
        <w:rPr>
          <w:rFonts w:ascii="Arial" w:hAnsi="Arial" w:cs="Arial"/>
          <w:sz w:val="20"/>
          <w:szCs w:val="20"/>
        </w:rPr>
        <w:t>Zmiany związane z aktem o rynkach cyfrowych (DMA).</w:t>
      </w:r>
    </w:p>
    <w:p w14:paraId="1E8BEB6B" w14:textId="0303B6F7"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W związku z wejściem w życie 11 listopada 2022 r. Rozporządzenia Parlamentu Europejskiego i Rady (UE) 2022/1925 z dnia 14 września 2022 r. w sprawie </w:t>
      </w:r>
      <w:proofErr w:type="spellStart"/>
      <w:r w:rsidRPr="005C158A">
        <w:rPr>
          <w:rFonts w:ascii="Arial" w:hAnsi="Arial" w:cs="Arial"/>
          <w:sz w:val="20"/>
          <w:szCs w:val="20"/>
        </w:rPr>
        <w:t>kontestowalnych</w:t>
      </w:r>
      <w:proofErr w:type="spellEnd"/>
      <w:r w:rsidRPr="005C158A">
        <w:rPr>
          <w:rFonts w:ascii="Arial" w:hAnsi="Arial" w:cs="Arial"/>
          <w:sz w:val="20"/>
          <w:szCs w:val="20"/>
        </w:rPr>
        <w:t xml:space="preserve"> i uczciwych rynków w sektorze cyfrowym oraz zmiany dyrektyw (UE) 2019/1937 i (UE) 2020/1828 (Akt o rynkach cyfrowych [ang. Digital </w:t>
      </w:r>
      <w:proofErr w:type="spellStart"/>
      <w:r w:rsidRPr="005C158A">
        <w:rPr>
          <w:rFonts w:ascii="Arial" w:hAnsi="Arial" w:cs="Arial"/>
          <w:sz w:val="20"/>
          <w:szCs w:val="20"/>
        </w:rPr>
        <w:t>Markets</w:t>
      </w:r>
      <w:proofErr w:type="spellEnd"/>
      <w:r w:rsidRPr="005C158A">
        <w:rPr>
          <w:rFonts w:ascii="Arial" w:hAnsi="Arial" w:cs="Arial"/>
          <w:sz w:val="20"/>
          <w:szCs w:val="20"/>
        </w:rPr>
        <w:t xml:space="preserve"> </w:t>
      </w:r>
      <w:proofErr w:type="spellStart"/>
      <w:r w:rsidRPr="005C158A">
        <w:rPr>
          <w:rFonts w:ascii="Arial" w:hAnsi="Arial" w:cs="Arial"/>
          <w:sz w:val="20"/>
          <w:szCs w:val="20"/>
        </w:rPr>
        <w:t>Act</w:t>
      </w:r>
      <w:proofErr w:type="spellEnd"/>
      <w:r w:rsidRPr="005C158A">
        <w:rPr>
          <w:rFonts w:ascii="Arial" w:hAnsi="Arial" w:cs="Arial"/>
          <w:sz w:val="20"/>
          <w:szCs w:val="20"/>
        </w:rPr>
        <w:t xml:space="preserve">], dalej: „akt o rynkach cyfrowych”), które obowiązuje od 2 maja 2023, istnieje potrzeba dostosowania do tego aktu krajowego systemu prawa konkurencji, w tym w szczególności ustawy z dnia 16 lutego 2007 r. o ochronie konkurencji i konsumentów (Dz. U. z 2021 r. poz. 275, ze zm., dalej: </w:t>
      </w:r>
      <w:proofErr w:type="spellStart"/>
      <w:r w:rsidR="00331770" w:rsidRPr="005C158A">
        <w:rPr>
          <w:rFonts w:ascii="Arial" w:hAnsi="Arial" w:cs="Arial"/>
          <w:sz w:val="20"/>
          <w:szCs w:val="20"/>
        </w:rPr>
        <w:t>uokk</w:t>
      </w:r>
      <w:proofErr w:type="spellEnd"/>
      <w:r w:rsidRPr="005C158A">
        <w:rPr>
          <w:rFonts w:ascii="Arial" w:hAnsi="Arial" w:cs="Arial"/>
          <w:sz w:val="20"/>
          <w:szCs w:val="20"/>
        </w:rPr>
        <w:t xml:space="preserve">). Celem nowelizacji </w:t>
      </w:r>
      <w:proofErr w:type="spellStart"/>
      <w:r w:rsidR="00331770" w:rsidRPr="005C158A">
        <w:rPr>
          <w:rFonts w:ascii="Arial" w:hAnsi="Arial" w:cs="Arial"/>
          <w:sz w:val="20"/>
          <w:szCs w:val="20"/>
        </w:rPr>
        <w:t>uokk</w:t>
      </w:r>
      <w:proofErr w:type="spellEnd"/>
      <w:r w:rsidRPr="005C158A">
        <w:rPr>
          <w:rFonts w:ascii="Arial" w:hAnsi="Arial" w:cs="Arial"/>
          <w:sz w:val="20"/>
          <w:szCs w:val="20"/>
        </w:rPr>
        <w:t xml:space="preserve"> jest zapewnienie wykonalności na gruncie prawa polskiego przepisów rozporządzenia, a także przyznanie Prezesowi Urzędu Ochrony Konkurencji i Konsumentów (dalej: „Prezes UOKiK”) kompetencji do przeprowadzania z własnej inicjatywy badania w sprawie możliwego nieprzestrzegania na jego terytorium art. 5, 6 i 7 aktu o rynkach cyfrowych. W ostatnich latach rynki cyfrowe zyskały ogromne znaczenie gospodarcze i społeczne. Praktycznie każda dziedzina życia, w tym handel, usługi, komunikacja i media, doświadczają znacznego wzrostu cyfryzacji. Wprowadzenie nowych kompetencji dla Prezesa UOKiK w tym obszarze jest zatem odpowiedzią na zmieniającą się rzeczywistość i potrzebę zapewnienia skutecznego nadzoru nad rynkami cyfrowymi. Projektowane przepisy pozwolą ponadto na zwiększenie efektywności stosowania aktu o rynkach cyfrowych, w tym przede wszystkim wsparcie Komisji Europejskiej, w celu sprawniejszej egzekucji oczekiwanej regulacji. </w:t>
      </w:r>
    </w:p>
    <w:p w14:paraId="78D32A54" w14:textId="63633437"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Akt o rynkach cyfrowych jest inicjatywą Komisji Europejskiej mającą na celu ustanowienie spójnych zasad regulujących rynek cyfrowy w całej Unii Europejskiej. Współpraca między Prezesem UOKiK </w:t>
      </w:r>
      <w:r w:rsidRPr="005C158A">
        <w:rPr>
          <w:rFonts w:ascii="Arial" w:hAnsi="Arial" w:cs="Arial"/>
          <w:sz w:val="20"/>
          <w:szCs w:val="20"/>
        </w:rPr>
        <w:lastRenderedPageBreak/>
        <w:t>a Komisją Europejską jest kluczowa, aby zapewnić harmonizację i skuteczne egzekwowanie przepisów, unikając różnic interpretacyjnych i gwarantując jednolite zasady działania na rynkach cyfrowych.</w:t>
      </w:r>
    </w:p>
    <w:p w14:paraId="580BDD23" w14:textId="23417209"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Konieczność dostosowania polskiej ustawy, zgodnie z założeniami przewidywanymi w akcie o rynkach cyfrowych, wynika zarówno z potrzeby harmonizacji standardów krajowych z tymi wprowadzanymi przez rozporządzenie, jak i z koniecznością wyposażenia krajowego organu w kompetencje pozwalające na realizację konkretnych zadań delegowanych na szczebel krajowy. Mając na uwadze, że oczekiwana jest bliska współpraca polskiego organu antymonopolowego z Komisją Europejską oraz organami zrzeszonymi w ramach Europejskiej Sieci Konkurencji w celu zapewniania realizacji zasad </w:t>
      </w:r>
      <w:proofErr w:type="spellStart"/>
      <w:r w:rsidRPr="005C158A">
        <w:rPr>
          <w:rFonts w:ascii="Arial" w:hAnsi="Arial" w:cs="Arial"/>
          <w:sz w:val="20"/>
          <w:szCs w:val="20"/>
        </w:rPr>
        <w:t>kontestowalności</w:t>
      </w:r>
      <w:proofErr w:type="spellEnd"/>
      <w:r w:rsidRPr="005C158A">
        <w:rPr>
          <w:rFonts w:ascii="Arial" w:hAnsi="Arial" w:cs="Arial"/>
          <w:sz w:val="20"/>
          <w:szCs w:val="20"/>
        </w:rPr>
        <w:t xml:space="preserve"> i uczciwości na rynkach w sektorze cyfrowym, konieczne jest umożliwienie współpracy z Komisją i krajowymi organami ochrony konkurencji państw członkowskich.</w:t>
      </w:r>
    </w:p>
    <w:p w14:paraId="5A2F7509" w14:textId="7F79E2F9"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Zgodnie z aktem o rynkach cyfrowych za jego wykonywanie odpowiedzialna jest Komisja Europejska. To ten organ przeprowadza badania rynku, wyznacza strażników rynku i egzekwuje obowiązki wynikające z rozporządzenia. Jednakże, mając na uwadze, że w przypadku dużych platform cyfrowych, które działają na skalę międzynarodową, skuteczna egzekucja przepisów wymaga współpracy między organami regulacyjnymi na różnych poziomach, akt o rynkach cyfrowych przewiduje jednocześnie, że właściwe krajowe organy ochrony konkurencji będą zobowiązane do współpracy z Komisją, polegającej na udzielaniu wsparcia w postępowaniach prowadzonych na szczeblu unijnym (m.in. badaniach rynku i w przeprowadzaniu kontroli), a także wymianie informacji, tak by krajowe organy mogły przekazywać dane, analizy i wnioski dotyczące sytuacji na lokalnych rynkach cyfrowych. Prezes UOKiK będzie zatem zobowiązany wspierać Komisję zarówno w procesie wyznaczania strażników dostępu, jak i w późniejszym monitorowaniu wypełniania obowiązków jakie rozporządzenie nakłada na te podmioty oraz stosowanych w tym celu środków. </w:t>
      </w:r>
    </w:p>
    <w:p w14:paraId="69A9B4A1" w14:textId="41B0E6CB"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Ponadto rozporządzenie umożliwia organom krajowym prowadzenie samodzielnych działań w przedmiocie monitorowania nieprzestrzegania art. 5, 6 i 7 rozporządzenia, których rezultaty następnie przekazywane mają być Komisji.  </w:t>
      </w:r>
    </w:p>
    <w:p w14:paraId="2E8386F1" w14:textId="32A9BA21"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Należy również wskazać, że Prezes UOKiK, będący aktualnie członkiem pierwszego składu High Level </w:t>
      </w:r>
      <w:proofErr w:type="spellStart"/>
      <w:r w:rsidRPr="005C158A">
        <w:rPr>
          <w:rFonts w:ascii="Arial" w:hAnsi="Arial" w:cs="Arial"/>
          <w:sz w:val="20"/>
          <w:szCs w:val="20"/>
        </w:rPr>
        <w:t>Group</w:t>
      </w:r>
      <w:proofErr w:type="spellEnd"/>
      <w:r w:rsidRPr="005C158A">
        <w:rPr>
          <w:rFonts w:ascii="Arial" w:hAnsi="Arial" w:cs="Arial"/>
          <w:sz w:val="20"/>
          <w:szCs w:val="20"/>
        </w:rPr>
        <w:t xml:space="preserve"> (czyli grupy wysokiego szczebla ds. aktu o rynkach cyfrowych), angażowany będzie w działania służące identyfikacji oraz ocenie obecnych i potencjalnych interakcji między aktem o rynkach cyfrowych, a przepisami sektorowymi stosowanymi przez organy krajowe. Dodatkowo, w ramach badań rynku dotyczących nowych usług i nowych praktyk High Level </w:t>
      </w:r>
      <w:proofErr w:type="spellStart"/>
      <w:r w:rsidRPr="005C158A">
        <w:rPr>
          <w:rFonts w:ascii="Arial" w:hAnsi="Arial" w:cs="Arial"/>
          <w:sz w:val="20"/>
          <w:szCs w:val="20"/>
        </w:rPr>
        <w:t>Group</w:t>
      </w:r>
      <w:proofErr w:type="spellEnd"/>
      <w:r w:rsidRPr="005C158A">
        <w:rPr>
          <w:rFonts w:ascii="Arial" w:hAnsi="Arial" w:cs="Arial"/>
          <w:sz w:val="20"/>
          <w:szCs w:val="20"/>
        </w:rPr>
        <w:t xml:space="preserve"> może służyć Komisji wiedzą fachową co do potrzeby zmiany przepisów rozporządzenia w celu zapewnienia konkurencyjności na rynkach cyfrowych.</w:t>
      </w:r>
    </w:p>
    <w:p w14:paraId="06DC8819" w14:textId="3DD18057"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Interwencja legislacyjna w postaci ustawy jest konieczna, aby umożliwić Prezesowi UOKiK wykonywanie obowiązków określonych w rozporządzeniu. Prezes UOKiK realizuje zadania wskazane  w następujących przepisach rozporządzenia:</w:t>
      </w:r>
    </w:p>
    <w:p w14:paraId="555DD191" w14:textId="77777777" w:rsidR="00082FF5" w:rsidRPr="005C158A" w:rsidRDefault="00082FF5" w:rsidP="0011422D">
      <w:pPr>
        <w:pStyle w:val="Akapitzlist"/>
        <w:numPr>
          <w:ilvl w:val="0"/>
          <w:numId w:val="36"/>
        </w:numPr>
        <w:spacing w:before="120" w:after="120" w:line="360" w:lineRule="auto"/>
        <w:jc w:val="both"/>
        <w:rPr>
          <w:rFonts w:ascii="Arial" w:hAnsi="Arial" w:cs="Arial"/>
          <w:sz w:val="20"/>
          <w:szCs w:val="20"/>
        </w:rPr>
      </w:pPr>
      <w:r w:rsidRPr="005C158A">
        <w:rPr>
          <w:rFonts w:ascii="Arial" w:hAnsi="Arial" w:cs="Arial"/>
          <w:sz w:val="20"/>
          <w:szCs w:val="20"/>
        </w:rPr>
        <w:t xml:space="preserve">pomoc w odbieraniu wyjaśnień (art. 22 ust. 2 aktu o rynkach cyfrowych), </w:t>
      </w:r>
    </w:p>
    <w:p w14:paraId="0B3D8125" w14:textId="77777777" w:rsidR="00082FF5" w:rsidRPr="005C158A" w:rsidRDefault="00082FF5" w:rsidP="0011422D">
      <w:pPr>
        <w:pStyle w:val="Akapitzlist"/>
        <w:numPr>
          <w:ilvl w:val="0"/>
          <w:numId w:val="36"/>
        </w:numPr>
        <w:spacing w:before="120" w:after="120" w:line="360" w:lineRule="auto"/>
        <w:jc w:val="both"/>
        <w:rPr>
          <w:rFonts w:ascii="Arial" w:hAnsi="Arial" w:cs="Arial"/>
          <w:sz w:val="20"/>
          <w:szCs w:val="20"/>
        </w:rPr>
      </w:pPr>
      <w:r w:rsidRPr="005C158A">
        <w:rPr>
          <w:rFonts w:ascii="Arial" w:hAnsi="Arial" w:cs="Arial"/>
          <w:sz w:val="20"/>
          <w:szCs w:val="20"/>
        </w:rPr>
        <w:t>pomoc w przeprowadzeniu kontroli, w tym wnioskowanie o pomoc policji (art. 23 ust 7-9 aktu o rynkach cyfrowych),</w:t>
      </w:r>
    </w:p>
    <w:p w14:paraId="1FD9A010" w14:textId="3FC6E001" w:rsidR="00082FF5" w:rsidRPr="005C158A" w:rsidRDefault="00082FF5" w:rsidP="0011422D">
      <w:pPr>
        <w:pStyle w:val="Akapitzlist"/>
        <w:numPr>
          <w:ilvl w:val="0"/>
          <w:numId w:val="36"/>
        </w:num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przyjmowanie zawiadomień w przedmiocie nieprzestrzegania DMA (art. 27 aktu o rynkach cyfrowych),współpraca i wymiana informacji (art. 38 ust. 1-6 aktu o rynkach cyfrowych). </w:t>
      </w:r>
    </w:p>
    <w:p w14:paraId="7ADE5229" w14:textId="68E19523"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Ponadto przewidziano możliwość prowadzenia wyposażenia krajowego organu ochrony konkurencji w kompetencje i uprawnienia dochodzeniowe, pozwalającą na prowadzenie własnej inicjatywy dochodzenia w sprawie możliwego nieprzestrzegania na jego terytorium art. 5, 6 i 7 rozporządzenia (art. 38 ust. 7 aktu o rynkach cyfrowych).</w:t>
      </w:r>
    </w:p>
    <w:p w14:paraId="3E02F29E" w14:textId="6F8C4EFF"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W związku z powyższym w przedmiocie uregulowania współpracy z Komisją w ramach wykonywania aktu o rynkach cyfrowych projekt przewiduje: </w:t>
      </w:r>
    </w:p>
    <w:p w14:paraId="12227DD4" w14:textId="03F9B8B0" w:rsidR="00082FF5" w:rsidRPr="005C158A" w:rsidRDefault="00082FF5" w:rsidP="0011422D">
      <w:pPr>
        <w:pStyle w:val="Akapitzlist"/>
        <w:numPr>
          <w:ilvl w:val="0"/>
          <w:numId w:val="35"/>
        </w:numPr>
        <w:spacing w:before="120" w:after="120" w:line="360" w:lineRule="auto"/>
        <w:jc w:val="both"/>
        <w:rPr>
          <w:rFonts w:ascii="Arial" w:hAnsi="Arial" w:cs="Arial"/>
          <w:sz w:val="20"/>
          <w:szCs w:val="20"/>
        </w:rPr>
      </w:pPr>
      <w:r w:rsidRPr="005C158A">
        <w:rPr>
          <w:rFonts w:ascii="Arial" w:hAnsi="Arial" w:cs="Arial"/>
          <w:sz w:val="20"/>
          <w:szCs w:val="20"/>
        </w:rPr>
        <w:t xml:space="preserve">dodanie do katalogu obowiązków Prezesa UOKiK wykonywania zadań określonych w rozporządzeniu 2022/1925 (zmiana w art. 31 </w:t>
      </w:r>
      <w:proofErr w:type="spellStart"/>
      <w:r w:rsidR="00331770" w:rsidRPr="005C158A">
        <w:rPr>
          <w:rFonts w:ascii="Arial" w:hAnsi="Arial" w:cs="Arial"/>
          <w:sz w:val="20"/>
          <w:szCs w:val="20"/>
        </w:rPr>
        <w:t>uokk</w:t>
      </w:r>
      <w:proofErr w:type="spellEnd"/>
      <w:r w:rsidRPr="005C158A">
        <w:rPr>
          <w:rFonts w:ascii="Arial" w:hAnsi="Arial" w:cs="Arial"/>
          <w:sz w:val="20"/>
          <w:szCs w:val="20"/>
        </w:rPr>
        <w:t>),</w:t>
      </w:r>
    </w:p>
    <w:p w14:paraId="5041ED1B" w14:textId="01ED3EA4" w:rsidR="00082FF5" w:rsidRPr="005C158A" w:rsidRDefault="00082FF5" w:rsidP="0011422D">
      <w:pPr>
        <w:pStyle w:val="Akapitzlist"/>
        <w:numPr>
          <w:ilvl w:val="0"/>
          <w:numId w:val="35"/>
        </w:numPr>
        <w:spacing w:before="120" w:after="120" w:line="360" w:lineRule="auto"/>
        <w:jc w:val="both"/>
        <w:rPr>
          <w:rFonts w:ascii="Arial" w:hAnsi="Arial" w:cs="Arial"/>
          <w:sz w:val="20"/>
          <w:szCs w:val="20"/>
        </w:rPr>
      </w:pPr>
      <w:r w:rsidRPr="005C158A">
        <w:rPr>
          <w:rFonts w:ascii="Arial" w:hAnsi="Arial" w:cs="Arial"/>
          <w:sz w:val="20"/>
          <w:szCs w:val="20"/>
        </w:rPr>
        <w:t>na potrzebę współpracy i wymiany informacji - zmianę, która umożliwi przekazywanie Komisji na podstawie rozporządzenia informacji uzyskanych w toku postępowań przed Prezesem UOKiK. W obecnym stanie prawnym, bez wskazania ww. rozporządzenia jako wyjątku w art. 73 ust. 2</w:t>
      </w:r>
      <w:r w:rsidR="00331770" w:rsidRPr="005C158A">
        <w:rPr>
          <w:rFonts w:ascii="Arial" w:hAnsi="Arial" w:cs="Arial"/>
          <w:sz w:val="20"/>
          <w:szCs w:val="20"/>
        </w:rPr>
        <w:t xml:space="preserve"> </w:t>
      </w:r>
      <w:proofErr w:type="spellStart"/>
      <w:r w:rsidR="00331770" w:rsidRPr="005C158A">
        <w:rPr>
          <w:rFonts w:ascii="Arial" w:hAnsi="Arial" w:cs="Arial"/>
          <w:sz w:val="20"/>
          <w:szCs w:val="20"/>
        </w:rPr>
        <w:t>uokk</w:t>
      </w:r>
      <w:proofErr w:type="spellEnd"/>
      <w:r w:rsidRPr="005C158A">
        <w:rPr>
          <w:rFonts w:ascii="Arial" w:hAnsi="Arial" w:cs="Arial"/>
          <w:sz w:val="20"/>
          <w:szCs w:val="20"/>
        </w:rPr>
        <w:t>, informacje uzyskane w toku postepowań przed Prezesem UOKiK nie mogłyby być przekazywane Komisji (zmiana w art. 73</w:t>
      </w:r>
      <w:r w:rsidR="00331770" w:rsidRPr="005C158A">
        <w:rPr>
          <w:rFonts w:ascii="Arial" w:hAnsi="Arial" w:cs="Arial"/>
          <w:sz w:val="20"/>
          <w:szCs w:val="20"/>
        </w:rPr>
        <w:t xml:space="preserve"> </w:t>
      </w:r>
      <w:proofErr w:type="spellStart"/>
      <w:r w:rsidR="00331770" w:rsidRPr="005C158A">
        <w:rPr>
          <w:rFonts w:ascii="Arial" w:hAnsi="Arial" w:cs="Arial"/>
          <w:sz w:val="20"/>
          <w:szCs w:val="20"/>
        </w:rPr>
        <w:t>uokk</w:t>
      </w:r>
      <w:proofErr w:type="spellEnd"/>
      <w:r w:rsidRPr="005C158A">
        <w:rPr>
          <w:rFonts w:ascii="Arial" w:hAnsi="Arial" w:cs="Arial"/>
          <w:sz w:val="20"/>
          <w:szCs w:val="20"/>
        </w:rPr>
        <w:t xml:space="preserve">), </w:t>
      </w:r>
    </w:p>
    <w:p w14:paraId="0C31FC67" w14:textId="47285EA6" w:rsidR="00082FF5" w:rsidRPr="005C158A" w:rsidRDefault="00082FF5" w:rsidP="0011422D">
      <w:pPr>
        <w:pStyle w:val="Akapitzlist"/>
        <w:numPr>
          <w:ilvl w:val="0"/>
          <w:numId w:val="35"/>
        </w:numPr>
        <w:spacing w:before="120" w:after="120" w:line="360" w:lineRule="auto"/>
        <w:jc w:val="both"/>
        <w:rPr>
          <w:rFonts w:ascii="Arial" w:hAnsi="Arial" w:cs="Arial"/>
          <w:sz w:val="20"/>
          <w:szCs w:val="20"/>
        </w:rPr>
      </w:pPr>
      <w:r w:rsidRPr="005C158A">
        <w:rPr>
          <w:rFonts w:ascii="Arial" w:hAnsi="Arial" w:cs="Arial"/>
          <w:sz w:val="20"/>
          <w:szCs w:val="20"/>
        </w:rPr>
        <w:t xml:space="preserve">na potrzebę udzielania pomocy w kontroli prowadzonej przez Komisję - zmianę umożliwiającą skorzystanie z art. 105b, art. 105ca, art. 105da, art. 105f-105h, art. 105n, art. 105nc i art. 105o </w:t>
      </w:r>
      <w:proofErr w:type="spellStart"/>
      <w:r w:rsidR="00331770" w:rsidRPr="005C158A">
        <w:rPr>
          <w:rFonts w:ascii="Arial" w:hAnsi="Arial" w:cs="Arial"/>
          <w:sz w:val="20"/>
          <w:szCs w:val="20"/>
        </w:rPr>
        <w:t>uokk</w:t>
      </w:r>
      <w:proofErr w:type="spellEnd"/>
      <w:r w:rsidR="00331770" w:rsidRPr="005C158A">
        <w:rPr>
          <w:rFonts w:ascii="Arial" w:hAnsi="Arial" w:cs="Arial"/>
          <w:sz w:val="20"/>
          <w:szCs w:val="20"/>
        </w:rPr>
        <w:t xml:space="preserve"> </w:t>
      </w:r>
      <w:r w:rsidRPr="005C158A">
        <w:rPr>
          <w:rFonts w:ascii="Arial" w:hAnsi="Arial" w:cs="Arial"/>
          <w:sz w:val="20"/>
          <w:szCs w:val="20"/>
        </w:rPr>
        <w:t xml:space="preserve">w toku kontroli prowadzonej przez Komisję (zmiana w art. 105 i </w:t>
      </w:r>
      <w:proofErr w:type="spellStart"/>
      <w:r w:rsidR="00331770" w:rsidRPr="005C158A">
        <w:rPr>
          <w:rFonts w:ascii="Arial" w:hAnsi="Arial" w:cs="Arial"/>
          <w:sz w:val="20"/>
          <w:szCs w:val="20"/>
        </w:rPr>
        <w:t>uokk</w:t>
      </w:r>
      <w:proofErr w:type="spellEnd"/>
      <w:r w:rsidRPr="005C158A">
        <w:rPr>
          <w:rFonts w:ascii="Arial" w:hAnsi="Arial" w:cs="Arial"/>
          <w:sz w:val="20"/>
          <w:szCs w:val="20"/>
        </w:rPr>
        <w:t xml:space="preserve">). </w:t>
      </w:r>
    </w:p>
    <w:p w14:paraId="74ACBBDA" w14:textId="14FBF18F"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Oprócz powyższego, w związku z potrzebą prowadzenia postępowań w przedmiocie nieprzestrzegania art. 5, 6 i 7 projekt przewiduje, że postępowania wyjaśniające prowadzone przez Prezesa UOKiK mogą mieć na celu także wstępne ustalenie czy nastąpiło naruszenie art. 5-7 rozporządzenia 2022/1925 (zmiana art. 48</w:t>
      </w:r>
      <w:r w:rsidR="00331770" w:rsidRPr="005C158A">
        <w:rPr>
          <w:rFonts w:ascii="Arial" w:hAnsi="Arial" w:cs="Arial"/>
          <w:sz w:val="20"/>
          <w:szCs w:val="20"/>
        </w:rPr>
        <w:t xml:space="preserve"> </w:t>
      </w:r>
      <w:proofErr w:type="spellStart"/>
      <w:r w:rsidR="00331770" w:rsidRPr="005C158A">
        <w:rPr>
          <w:rFonts w:ascii="Arial" w:hAnsi="Arial" w:cs="Arial"/>
          <w:sz w:val="20"/>
          <w:szCs w:val="20"/>
        </w:rPr>
        <w:t>uokk</w:t>
      </w:r>
      <w:proofErr w:type="spellEnd"/>
      <w:r w:rsidRPr="005C158A">
        <w:rPr>
          <w:rFonts w:ascii="Arial" w:hAnsi="Arial" w:cs="Arial"/>
          <w:sz w:val="20"/>
          <w:szCs w:val="20"/>
        </w:rPr>
        <w:t>). Konsekwencją powyższej zmiany jest także rozszerzenie katalogu przesłanek umożliwiających przeprowadzenie przeszukania (zmiana art. 105n</w:t>
      </w:r>
      <w:r w:rsidR="00331770" w:rsidRPr="005C158A">
        <w:rPr>
          <w:rFonts w:ascii="Arial" w:hAnsi="Arial" w:cs="Arial"/>
          <w:sz w:val="20"/>
          <w:szCs w:val="20"/>
        </w:rPr>
        <w:t xml:space="preserve"> </w:t>
      </w:r>
      <w:proofErr w:type="spellStart"/>
      <w:r w:rsidR="00331770" w:rsidRPr="005C158A">
        <w:rPr>
          <w:rFonts w:ascii="Arial" w:hAnsi="Arial" w:cs="Arial"/>
          <w:sz w:val="20"/>
          <w:szCs w:val="20"/>
        </w:rPr>
        <w:t>uokk</w:t>
      </w:r>
      <w:proofErr w:type="spellEnd"/>
      <w:r w:rsidRPr="005C158A">
        <w:rPr>
          <w:rFonts w:ascii="Arial" w:hAnsi="Arial" w:cs="Arial"/>
          <w:sz w:val="20"/>
          <w:szCs w:val="20"/>
        </w:rPr>
        <w:t xml:space="preserve">), tak by przedmiotowy środek dochodzeniowy mógł być wykorzystywany w postępowaniach dotyczących przestrzegania wskazanych wyżej przepisów aktu o rynkach cyfrowych. </w:t>
      </w:r>
    </w:p>
    <w:p w14:paraId="21AFA27E" w14:textId="7B5E8ACF"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Ewentualne postępowania prowadzone w ramach współpracy z Komisją przy egzekwowaniu aktu o rynkach cyfrowych (np. pomoc w badaniach rynku art. 16 ust. 5) będą natomiast prowadzone bezpośrednio na podstawie rozporządzenia oraz na podstawie przepisów dotychczasowych dotyczących postępowania wyjaśniającego. </w:t>
      </w:r>
    </w:p>
    <w:p w14:paraId="69F97ED5" w14:textId="47BF5811" w:rsidR="00082FF5" w:rsidRPr="005C158A" w:rsidRDefault="00082FF5" w:rsidP="0011422D">
      <w:pPr>
        <w:spacing w:before="120" w:after="120" w:line="360" w:lineRule="auto"/>
        <w:jc w:val="both"/>
        <w:rPr>
          <w:rFonts w:ascii="Arial" w:hAnsi="Arial" w:cs="Arial"/>
          <w:sz w:val="20"/>
          <w:szCs w:val="20"/>
        </w:rPr>
      </w:pPr>
      <w:r w:rsidRPr="005C158A">
        <w:rPr>
          <w:rFonts w:ascii="Arial" w:hAnsi="Arial" w:cs="Arial"/>
          <w:sz w:val="20"/>
          <w:szCs w:val="20"/>
        </w:rPr>
        <w:t>Projektowane przepisy są niezbędne do realizacji zasady lojalnej współpracy pomiędzy Unią Europejską a państwami członkowskimi wskazanej w Traktacie o Funkcjonowaniu Unii Europejskiej.</w:t>
      </w:r>
    </w:p>
    <w:p w14:paraId="3E6AC165" w14:textId="793E4DAF" w:rsidR="00082FF5" w:rsidRPr="005C158A" w:rsidRDefault="000817E8" w:rsidP="0011422D">
      <w:pPr>
        <w:pStyle w:val="Akapitzlist"/>
        <w:numPr>
          <w:ilvl w:val="0"/>
          <w:numId w:val="31"/>
        </w:numPr>
        <w:spacing w:before="120" w:after="120" w:line="360" w:lineRule="auto"/>
        <w:ind w:left="0" w:hanging="11"/>
        <w:jc w:val="both"/>
        <w:rPr>
          <w:rFonts w:ascii="Arial" w:eastAsia="Calibri" w:hAnsi="Arial" w:cs="Arial"/>
          <w:color w:val="000000"/>
          <w:sz w:val="20"/>
          <w:szCs w:val="20"/>
          <w:lang w:eastAsia="pl-PL"/>
        </w:rPr>
      </w:pPr>
      <w:r w:rsidRPr="005C158A">
        <w:rPr>
          <w:rFonts w:ascii="Arial" w:eastAsia="Calibri" w:hAnsi="Arial" w:cs="Arial"/>
          <w:color w:val="000000"/>
          <w:sz w:val="20"/>
          <w:szCs w:val="20"/>
          <w:lang w:eastAsia="pl-PL"/>
        </w:rPr>
        <w:t xml:space="preserve">Zmiany związane z rozporządzeniem </w:t>
      </w:r>
      <w:r w:rsidRPr="005C158A">
        <w:rPr>
          <w:rFonts w:ascii="Arial" w:hAnsi="Arial" w:cs="Arial"/>
          <w:sz w:val="20"/>
          <w:szCs w:val="20"/>
        </w:rPr>
        <w:t>w sprawie subsydiów zagranicznych zakłócających rynek wewnętrzny</w:t>
      </w:r>
    </w:p>
    <w:p w14:paraId="1FEBF158" w14:textId="1A879CF8" w:rsidR="00B155D4" w:rsidRPr="005C158A" w:rsidRDefault="00B155D4" w:rsidP="000817E8">
      <w:pPr>
        <w:spacing w:before="120" w:after="120" w:line="360" w:lineRule="auto"/>
        <w:jc w:val="both"/>
        <w:rPr>
          <w:rFonts w:ascii="Arial" w:eastAsia="Calibri" w:hAnsi="Arial" w:cs="Arial"/>
          <w:color w:val="000000"/>
          <w:sz w:val="20"/>
          <w:szCs w:val="20"/>
          <w:lang w:eastAsia="pl-PL"/>
        </w:rPr>
      </w:pPr>
      <w:r w:rsidRPr="005C158A">
        <w:rPr>
          <w:rFonts w:ascii="Arial" w:hAnsi="Arial" w:cs="Arial"/>
          <w:sz w:val="20"/>
          <w:szCs w:val="20"/>
        </w:rPr>
        <w:t xml:space="preserve">Celem nowelizacji ustawy o ochronie konkurencji i konsumentów jest zapewnienie wykonalności na gruncie prawa polskiego przepisów rozporządzenia Parlamentu Europejskiego i Rady (UE) nr 2022/2560 z dnia 14 grudnia 2022 r. w sprawie subsydiów zagranicznych zakłócających rynek wewnętrzny </w:t>
      </w:r>
      <w:r w:rsidRPr="005C158A">
        <w:rPr>
          <w:rFonts w:ascii="Arial" w:hAnsi="Arial" w:cs="Arial"/>
          <w:color w:val="000000"/>
          <w:sz w:val="20"/>
          <w:szCs w:val="20"/>
        </w:rPr>
        <w:t xml:space="preserve">(Dz. Urz. UE L 330 z 23.12.2022, str. 1), </w:t>
      </w:r>
      <w:r w:rsidRPr="005C158A">
        <w:rPr>
          <w:rFonts w:ascii="Arial" w:hAnsi="Arial" w:cs="Arial"/>
          <w:sz w:val="20"/>
          <w:szCs w:val="20"/>
        </w:rPr>
        <w:t xml:space="preserve">zwanego dalej „rozporządzeniem 2022/2560”. </w:t>
      </w:r>
      <w:r w:rsidRPr="005C158A">
        <w:rPr>
          <w:rFonts w:ascii="Arial" w:hAnsi="Arial" w:cs="Arial"/>
          <w:color w:val="000000"/>
          <w:sz w:val="20"/>
          <w:szCs w:val="20"/>
        </w:rPr>
        <w:lastRenderedPageBreak/>
        <w:t xml:space="preserve">Rozporządzenie 2022/2560 nakłada na państwa członkowskie obowiązek współpracy z Komisją Europejską </w:t>
      </w:r>
      <w:r w:rsidRPr="005C158A">
        <w:rPr>
          <w:rFonts w:ascii="Arial" w:hAnsi="Arial" w:cs="Arial"/>
          <w:sz w:val="20"/>
          <w:szCs w:val="20"/>
        </w:rPr>
        <w:t xml:space="preserve">(zwaną dalej „Komisją”) </w:t>
      </w:r>
      <w:r w:rsidRPr="005C158A">
        <w:rPr>
          <w:rFonts w:ascii="Arial" w:hAnsi="Arial" w:cs="Arial"/>
          <w:color w:val="000000"/>
          <w:sz w:val="20"/>
          <w:szCs w:val="20"/>
        </w:rPr>
        <w:t xml:space="preserve">w zakresie prowadzonych przez nią postepowań mających na celu zidentyfikowanie i zbadanie charakteru danego subsydium, a także działań na rzecz zniwelowania zakłócającego charakteru tych subsydiów. Rozporządzenie 2022/2560 wprowadza zasady i procedury badania subsydiów zagranicznych, które faktycznie lub potencjalnie zakłócają rynek wewnętrzny oraz zasady dot. kompensowania skutków tych zakłóceń. </w:t>
      </w:r>
      <w:r w:rsidRPr="005C158A">
        <w:rPr>
          <w:rFonts w:ascii="Arial" w:eastAsia="Calibri" w:hAnsi="Arial" w:cs="Arial"/>
          <w:color w:val="000000"/>
          <w:spacing w:val="-2"/>
          <w:sz w:val="20"/>
          <w:szCs w:val="20"/>
        </w:rPr>
        <w:t xml:space="preserve">Rozporządzenie 2022/2560 wprowadza </w:t>
      </w:r>
      <w:r w:rsidRPr="005C158A">
        <w:rPr>
          <w:rFonts w:ascii="Arial" w:eastAsia="Calibri" w:hAnsi="Arial" w:cs="Arial"/>
          <w:color w:val="000000"/>
          <w:sz w:val="20"/>
          <w:szCs w:val="20"/>
          <w:lang w:eastAsia="pl-PL"/>
        </w:rPr>
        <w:t>trzy instrumenty, dzięki którym Komisja ma możliwość badania subsydiów zagranicznych:</w:t>
      </w:r>
    </w:p>
    <w:p w14:paraId="39966F8C" w14:textId="77777777" w:rsidR="00B155D4" w:rsidRPr="005C158A" w:rsidRDefault="00B155D4" w:rsidP="00DC6DF4">
      <w:pPr>
        <w:numPr>
          <w:ilvl w:val="0"/>
          <w:numId w:val="18"/>
        </w:numPr>
        <w:spacing w:before="120" w:after="120" w:line="360" w:lineRule="auto"/>
        <w:ind w:left="0" w:firstLine="0"/>
        <w:jc w:val="both"/>
        <w:rPr>
          <w:rFonts w:ascii="Arial" w:eastAsia="Calibri" w:hAnsi="Arial" w:cs="Arial"/>
          <w:sz w:val="20"/>
          <w:szCs w:val="20"/>
        </w:rPr>
      </w:pPr>
      <w:r w:rsidRPr="005C158A">
        <w:rPr>
          <w:rFonts w:ascii="Arial" w:eastAsia="Calibri" w:hAnsi="Arial" w:cs="Arial"/>
          <w:sz w:val="20"/>
          <w:szCs w:val="20"/>
        </w:rPr>
        <w:t xml:space="preserve">instrument ogólny do badania różnych sytuacji rynkowych oraz mniejszych koncentracji i procedur zamówień publicznych, który Komisja Europejska może uruchomić z własnej inicjatywy (z urzędu) i może zażądać zgłoszeń </w:t>
      </w:r>
      <w:r w:rsidRPr="005C158A">
        <w:rPr>
          <w:rFonts w:ascii="Arial" w:eastAsia="Calibri" w:hAnsi="Arial" w:cs="Arial"/>
          <w:i/>
          <w:iCs/>
          <w:sz w:val="20"/>
          <w:szCs w:val="20"/>
        </w:rPr>
        <w:t>ad hoc</w:t>
      </w:r>
      <w:r w:rsidRPr="005C158A">
        <w:rPr>
          <w:rFonts w:ascii="Arial" w:eastAsia="Calibri" w:hAnsi="Arial" w:cs="Arial"/>
          <w:sz w:val="20"/>
          <w:szCs w:val="20"/>
        </w:rPr>
        <w:t>;</w:t>
      </w:r>
    </w:p>
    <w:p w14:paraId="5B4218A3" w14:textId="77777777" w:rsidR="00B155D4" w:rsidRPr="005C158A" w:rsidRDefault="00B155D4" w:rsidP="00DC6DF4">
      <w:pPr>
        <w:numPr>
          <w:ilvl w:val="0"/>
          <w:numId w:val="18"/>
        </w:numPr>
        <w:spacing w:before="120" w:after="120" w:line="360" w:lineRule="auto"/>
        <w:ind w:left="0" w:firstLine="0"/>
        <w:jc w:val="both"/>
        <w:rPr>
          <w:rFonts w:ascii="Arial" w:eastAsia="Calibri" w:hAnsi="Arial" w:cs="Arial"/>
          <w:sz w:val="20"/>
          <w:szCs w:val="20"/>
        </w:rPr>
      </w:pPr>
      <w:r w:rsidRPr="005C158A">
        <w:rPr>
          <w:rFonts w:ascii="Arial" w:eastAsia="Calibri" w:hAnsi="Arial" w:cs="Arial"/>
          <w:sz w:val="20"/>
          <w:szCs w:val="20"/>
        </w:rPr>
        <w:t xml:space="preserve">instrument oparty na notyfikacji, służący do badania koncentracji wiążących się z wkładem finansowym rządu spoza UE, w przypadku, gdy w sytuacji koncentracji co najmniej jedno z łączących się przedsiębiorstw, </w:t>
      </w:r>
      <w:r w:rsidRPr="005C158A">
        <w:rPr>
          <w:rFonts w:ascii="Arial" w:eastAsia="Calibri" w:hAnsi="Arial" w:cs="Arial"/>
          <w:color w:val="000000"/>
          <w:sz w:val="20"/>
          <w:szCs w:val="20"/>
        </w:rPr>
        <w:t>przejmowanych przedsiębiorstw lub spółek joint venture</w:t>
      </w:r>
      <w:r w:rsidRPr="005C158A">
        <w:rPr>
          <w:rFonts w:ascii="Arial" w:eastAsia="Calibri" w:hAnsi="Arial" w:cs="Arial"/>
          <w:sz w:val="20"/>
          <w:szCs w:val="20"/>
        </w:rPr>
        <w:t xml:space="preserve"> ma siedzibę w UE i generuje w UE łączny obrót w wysokości co najmniej 500 mln EUR oraz </w:t>
      </w:r>
      <w:r w:rsidRPr="005C158A">
        <w:rPr>
          <w:rFonts w:ascii="Arial" w:eastAsia="Calibri" w:hAnsi="Arial" w:cs="Arial"/>
          <w:color w:val="000000"/>
          <w:sz w:val="20"/>
          <w:szCs w:val="20"/>
        </w:rPr>
        <w:t>następujące</w:t>
      </w:r>
      <w:r w:rsidRPr="005C158A">
        <w:rPr>
          <w:rFonts w:ascii="Arial" w:eastAsia="Calibri" w:hAnsi="Arial" w:cs="Arial"/>
          <w:sz w:val="20"/>
          <w:szCs w:val="20"/>
        </w:rPr>
        <w:t xml:space="preserve"> przedsiębiorstwa </w:t>
      </w:r>
      <w:r w:rsidRPr="005C158A">
        <w:rPr>
          <w:rFonts w:ascii="Arial" w:eastAsia="Calibri" w:hAnsi="Arial" w:cs="Arial"/>
          <w:color w:val="000000"/>
          <w:sz w:val="20"/>
          <w:szCs w:val="20"/>
        </w:rPr>
        <w:t>otrzymały razem</w:t>
      </w:r>
      <w:r w:rsidRPr="005C158A">
        <w:rPr>
          <w:rFonts w:ascii="Arial" w:eastAsia="Calibri" w:hAnsi="Arial" w:cs="Arial"/>
          <w:sz w:val="20"/>
          <w:szCs w:val="20"/>
        </w:rPr>
        <w:t xml:space="preserve"> od państw trzecich </w:t>
      </w:r>
      <w:r w:rsidRPr="005C158A">
        <w:rPr>
          <w:rFonts w:ascii="Arial" w:eastAsia="Calibri" w:hAnsi="Arial" w:cs="Arial"/>
          <w:color w:val="000000"/>
          <w:sz w:val="20"/>
          <w:szCs w:val="20"/>
        </w:rPr>
        <w:t>łączny</w:t>
      </w:r>
      <w:r w:rsidRPr="005C158A">
        <w:rPr>
          <w:rFonts w:ascii="Arial" w:eastAsia="Calibri" w:hAnsi="Arial" w:cs="Arial"/>
          <w:sz w:val="20"/>
          <w:szCs w:val="20"/>
        </w:rPr>
        <w:t xml:space="preserve"> wkład finansowy w wysokości ponad 50 mln EUR w ciągu trzech lat poprzedzających zawarcie umowy, ogłoszenie publicznej oferty lub nabycie pakietu kontrolnego:</w:t>
      </w:r>
    </w:p>
    <w:p w14:paraId="11B809B2" w14:textId="08D50014" w:rsidR="00B155D4" w:rsidRPr="005C158A" w:rsidRDefault="00B155D4" w:rsidP="00B155D4">
      <w:pPr>
        <w:spacing w:before="120" w:after="120" w:line="360" w:lineRule="auto"/>
        <w:ind w:left="567" w:hanging="567"/>
        <w:jc w:val="both"/>
        <w:rPr>
          <w:rFonts w:ascii="Arial" w:eastAsia="Calibri" w:hAnsi="Arial" w:cs="Arial"/>
          <w:w w:val="0"/>
          <w:sz w:val="20"/>
          <w:szCs w:val="20"/>
        </w:rPr>
      </w:pPr>
      <w:r w:rsidRPr="005C158A">
        <w:rPr>
          <w:rFonts w:ascii="Arial" w:eastAsia="Calibri" w:hAnsi="Arial" w:cs="Arial"/>
          <w:w w:val="0"/>
          <w:sz w:val="20"/>
          <w:szCs w:val="20"/>
        </w:rPr>
        <w:t>(i)</w:t>
      </w:r>
      <w:r w:rsidRPr="005C158A">
        <w:rPr>
          <w:rFonts w:ascii="Arial" w:eastAsia="Calibri" w:hAnsi="Arial" w:cs="Arial"/>
          <w:w w:val="0"/>
          <w:sz w:val="20"/>
          <w:szCs w:val="20"/>
        </w:rPr>
        <w:tab/>
        <w:t>w przypadku przejęcia – nabywca lub nabywcy i przejmowany przedsiębiorca</w:t>
      </w:r>
      <w:r w:rsidR="000A0BC5" w:rsidRPr="005C158A">
        <w:rPr>
          <w:rFonts w:ascii="Arial" w:eastAsia="Calibri" w:hAnsi="Arial" w:cs="Arial"/>
          <w:w w:val="0"/>
          <w:sz w:val="20"/>
          <w:szCs w:val="20"/>
        </w:rPr>
        <w:t>,</w:t>
      </w:r>
    </w:p>
    <w:p w14:paraId="5C58BB64" w14:textId="75AE075F" w:rsidR="00B155D4" w:rsidRPr="005C158A" w:rsidRDefault="00B155D4" w:rsidP="00B155D4">
      <w:pPr>
        <w:spacing w:before="120" w:after="120" w:line="360" w:lineRule="auto"/>
        <w:ind w:left="567" w:hanging="567"/>
        <w:jc w:val="both"/>
        <w:rPr>
          <w:rFonts w:ascii="Arial" w:eastAsia="Calibri" w:hAnsi="Arial" w:cs="Arial"/>
          <w:w w:val="0"/>
          <w:sz w:val="20"/>
          <w:szCs w:val="20"/>
        </w:rPr>
      </w:pPr>
      <w:r w:rsidRPr="005C158A">
        <w:rPr>
          <w:rFonts w:ascii="Arial" w:eastAsia="Calibri" w:hAnsi="Arial" w:cs="Arial"/>
          <w:w w:val="0"/>
          <w:sz w:val="20"/>
          <w:szCs w:val="20"/>
        </w:rPr>
        <w:t>(ii)</w:t>
      </w:r>
      <w:r w:rsidRPr="005C158A">
        <w:rPr>
          <w:rFonts w:ascii="Arial" w:eastAsia="Calibri" w:hAnsi="Arial" w:cs="Arial"/>
          <w:w w:val="0"/>
          <w:sz w:val="20"/>
          <w:szCs w:val="20"/>
        </w:rPr>
        <w:tab/>
        <w:t>w przypadku połączenia – łączące się przedsiębiorstwa</w:t>
      </w:r>
      <w:r w:rsidR="000A0BC5" w:rsidRPr="005C158A">
        <w:rPr>
          <w:rFonts w:ascii="Arial" w:eastAsia="Calibri" w:hAnsi="Arial" w:cs="Arial"/>
          <w:w w:val="0"/>
          <w:sz w:val="20"/>
          <w:szCs w:val="20"/>
        </w:rPr>
        <w:t>,</w:t>
      </w:r>
    </w:p>
    <w:p w14:paraId="5319E157" w14:textId="77777777" w:rsidR="00B155D4" w:rsidRPr="005C158A" w:rsidRDefault="00B155D4" w:rsidP="00B155D4">
      <w:pPr>
        <w:spacing w:before="120" w:after="120" w:line="360" w:lineRule="auto"/>
        <w:ind w:left="567" w:hanging="567"/>
        <w:jc w:val="both"/>
        <w:rPr>
          <w:rFonts w:ascii="Arial" w:eastAsia="Calibri" w:hAnsi="Arial" w:cs="Arial"/>
          <w:w w:val="0"/>
          <w:sz w:val="20"/>
          <w:szCs w:val="20"/>
        </w:rPr>
      </w:pPr>
      <w:r w:rsidRPr="005C158A">
        <w:rPr>
          <w:rFonts w:ascii="Arial" w:eastAsia="Calibri" w:hAnsi="Arial" w:cs="Arial"/>
          <w:w w:val="0"/>
          <w:sz w:val="20"/>
          <w:szCs w:val="20"/>
        </w:rPr>
        <w:t>(iii)</w:t>
      </w:r>
      <w:r w:rsidRPr="005C158A">
        <w:rPr>
          <w:rFonts w:ascii="Arial" w:eastAsia="Calibri" w:hAnsi="Arial" w:cs="Arial"/>
          <w:w w:val="0"/>
          <w:sz w:val="20"/>
          <w:szCs w:val="20"/>
        </w:rPr>
        <w:tab/>
        <w:t>w przypadku wspólnego przedsiębiorstwa – przedsiębiorstwa tworzące spółkę joint venture oraz ta spółka joint venture;</w:t>
      </w:r>
    </w:p>
    <w:p w14:paraId="22E6A3AB" w14:textId="77777777" w:rsidR="00B155D4" w:rsidRPr="005C158A" w:rsidRDefault="00B155D4" w:rsidP="00DC6DF4">
      <w:pPr>
        <w:numPr>
          <w:ilvl w:val="0"/>
          <w:numId w:val="19"/>
        </w:numPr>
        <w:spacing w:before="120" w:after="120" w:line="360" w:lineRule="auto"/>
        <w:ind w:left="0" w:hanging="11"/>
        <w:jc w:val="both"/>
        <w:rPr>
          <w:rFonts w:ascii="Arial" w:eastAsia="Times New Roman" w:hAnsi="Arial" w:cs="Arial"/>
          <w:bCs/>
          <w:iCs/>
          <w:w w:val="0"/>
          <w:sz w:val="20"/>
          <w:szCs w:val="20"/>
        </w:rPr>
      </w:pPr>
      <w:r w:rsidRPr="005C158A">
        <w:rPr>
          <w:rFonts w:ascii="Arial" w:eastAsia="Calibri" w:hAnsi="Arial" w:cs="Arial"/>
          <w:sz w:val="20"/>
          <w:szCs w:val="20"/>
        </w:rPr>
        <w:t xml:space="preserve">instrument oparty na notyfikacji, służący do badania ofert w zamówieniach publicznych wiążących się z wkładem finansowym rządu spoza UE, w przypadku gdy szacunkowa wartość tego zamówienia </w:t>
      </w:r>
      <w:r w:rsidRPr="005C158A">
        <w:rPr>
          <w:rFonts w:ascii="Arial" w:eastAsia="Calibri" w:hAnsi="Arial" w:cs="Arial"/>
          <w:color w:val="000000"/>
          <w:sz w:val="20"/>
          <w:szCs w:val="20"/>
        </w:rPr>
        <w:t>lub umowy ramowej bez VAT lub konkretnego zamówienia udzielanego w ramach dynamicznego systemu zakupów</w:t>
      </w:r>
      <w:r w:rsidRPr="005C158A">
        <w:rPr>
          <w:rFonts w:ascii="Arial" w:eastAsia="Calibri" w:hAnsi="Arial" w:cs="Arial"/>
          <w:sz w:val="20"/>
          <w:szCs w:val="20"/>
        </w:rPr>
        <w:t xml:space="preserve"> jest równa 250 mln EUR lub wyższa</w:t>
      </w:r>
      <w:r w:rsidRPr="005C158A">
        <w:rPr>
          <w:rFonts w:ascii="Arial" w:eastAsia="Calibri" w:hAnsi="Arial" w:cs="Arial"/>
          <w:color w:val="000000"/>
          <w:sz w:val="20"/>
          <w:szCs w:val="20"/>
        </w:rPr>
        <w:t xml:space="preserve"> oraz</w:t>
      </w:r>
      <w:r w:rsidRPr="005C158A">
        <w:rPr>
          <w:rFonts w:ascii="Arial" w:eastAsia="Times New Roman" w:hAnsi="Arial" w:cs="Arial"/>
          <w:w w:val="0"/>
          <w:sz w:val="20"/>
          <w:szCs w:val="20"/>
        </w:rPr>
        <w:t xml:space="preserve"> </w:t>
      </w:r>
      <w:r w:rsidRPr="005C158A">
        <w:rPr>
          <w:rFonts w:ascii="Arial" w:eastAsia="Calibri" w:hAnsi="Arial" w:cs="Arial"/>
          <w:color w:val="000000"/>
          <w:sz w:val="20"/>
          <w:szCs w:val="20"/>
        </w:rPr>
        <w:t>wykonawca, w tym jego spółki zależne bez autonomii handlowej, jego spółki holdingowe, oraz, w stosownych przypadkach, jego główni podwykonawcy i dostawcy uczestniczący w tej samej ofercie w postępowaniu o udzielenie zamówienia otrzymali w ciągu trzech lat poprzedzających zgłoszenie lub, w stosownych przypadkach, zaktualizowane zgłoszenie łączne wkłady finansowe równe 4 mln</w:t>
      </w:r>
      <w:r w:rsidRPr="005C158A">
        <w:rPr>
          <w:rFonts w:ascii="Arial" w:eastAsia="Calibri" w:hAnsi="Arial" w:cs="Arial"/>
          <w:bCs/>
          <w:iCs/>
          <w:color w:val="000000"/>
          <w:sz w:val="20"/>
          <w:szCs w:val="20"/>
        </w:rPr>
        <w:t xml:space="preserve"> EUR lub wyższe na każde państwo trzecie.</w:t>
      </w:r>
    </w:p>
    <w:p w14:paraId="0521A187" w14:textId="3DE5CB38" w:rsidR="00B155D4" w:rsidRPr="005C158A" w:rsidRDefault="00B155D4" w:rsidP="00B155D4">
      <w:pPr>
        <w:spacing w:before="120" w:after="120" w:line="360" w:lineRule="auto"/>
        <w:jc w:val="both"/>
        <w:rPr>
          <w:rFonts w:ascii="Arial" w:eastAsia="Calibri" w:hAnsi="Arial" w:cs="Arial"/>
          <w:sz w:val="20"/>
          <w:szCs w:val="20"/>
        </w:rPr>
      </w:pPr>
      <w:r w:rsidRPr="005C158A">
        <w:rPr>
          <w:rFonts w:ascii="Arial" w:hAnsi="Arial" w:cs="Arial"/>
          <w:color w:val="000000"/>
          <w:sz w:val="20"/>
          <w:szCs w:val="20"/>
        </w:rPr>
        <w:t xml:space="preserve">Wprowadzone instrumenty stanowią </w:t>
      </w:r>
      <w:r w:rsidRPr="005C158A">
        <w:rPr>
          <w:rFonts w:ascii="Arial" w:hAnsi="Arial" w:cs="Arial"/>
          <w:i/>
          <w:iCs/>
          <w:color w:val="000000"/>
          <w:sz w:val="20"/>
          <w:szCs w:val="20"/>
        </w:rPr>
        <w:t>novum</w:t>
      </w:r>
      <w:r w:rsidRPr="005C158A">
        <w:rPr>
          <w:rFonts w:ascii="Arial" w:hAnsi="Arial" w:cs="Arial"/>
          <w:color w:val="000000"/>
          <w:sz w:val="20"/>
          <w:szCs w:val="20"/>
        </w:rPr>
        <w:t>, żaden z wcześniej istniejących instrumentów nie odnosił się do zakłóceń powodowanych przez subsydia zagraniczne na rynku wewnętrznym. Komisja jest jedynym organem właściwym do stosowania rozporządzenia 2022/2560 i tym samym badania subsydiów zagranicznych na rynku wewnętrznym, jednak rozporządzenie 2022/2560 określa obowiązki państw członkowskich, które są zobowiązane do współpracy z Komisją. D</w:t>
      </w:r>
      <w:r w:rsidRPr="005C158A">
        <w:rPr>
          <w:rFonts w:ascii="Arial" w:eastAsia="Calibri" w:hAnsi="Arial" w:cs="Arial"/>
          <w:sz w:val="20"/>
          <w:szCs w:val="20"/>
        </w:rPr>
        <w:t xml:space="preserve">o tej pory żaden organ w Polsce nie wykonywał zadań w zakresie współpracy z Komisją Europejską wskazanych w rozporządzeniu 2022/2560. Interwencja legislacyjna w postaci ustawy jest konieczna, aby wskazać </w:t>
      </w:r>
      <w:r w:rsidRPr="005C158A">
        <w:rPr>
          <w:rFonts w:ascii="Arial" w:eastAsia="Calibri" w:hAnsi="Arial" w:cs="Arial"/>
          <w:sz w:val="20"/>
          <w:szCs w:val="20"/>
        </w:rPr>
        <w:lastRenderedPageBreak/>
        <w:t>organ, które na poziomie krajowym będzie podejmował i wykonywał obowiązki określone w rozporządzeniu, tj.</w:t>
      </w:r>
      <w:r w:rsidR="000A0BC5" w:rsidRPr="005C158A">
        <w:rPr>
          <w:rFonts w:ascii="Arial" w:eastAsia="Calibri" w:hAnsi="Arial" w:cs="Arial"/>
          <w:sz w:val="20"/>
          <w:szCs w:val="20"/>
        </w:rPr>
        <w:t>:</w:t>
      </w:r>
    </w:p>
    <w:p w14:paraId="763E79AD" w14:textId="77777777" w:rsidR="00B155D4" w:rsidRPr="005C158A" w:rsidRDefault="00B155D4" w:rsidP="00DC6DF4">
      <w:pPr>
        <w:numPr>
          <w:ilvl w:val="0"/>
          <w:numId w:val="16"/>
        </w:numPr>
        <w:spacing w:after="0" w:line="360" w:lineRule="auto"/>
        <w:ind w:left="0" w:hanging="11"/>
        <w:jc w:val="both"/>
        <w:rPr>
          <w:rFonts w:ascii="Arial" w:eastAsia="Calibri" w:hAnsi="Arial" w:cs="Arial"/>
          <w:color w:val="000000"/>
          <w:sz w:val="20"/>
          <w:szCs w:val="20"/>
        </w:rPr>
      </w:pPr>
      <w:r w:rsidRPr="005C158A">
        <w:rPr>
          <w:rFonts w:ascii="Arial" w:eastAsia="Calibri" w:hAnsi="Arial" w:cs="Arial"/>
          <w:color w:val="000000"/>
          <w:sz w:val="20"/>
          <w:szCs w:val="20"/>
        </w:rPr>
        <w:t xml:space="preserve">przekazywanie Komisji informacji niezbędnych do wykonywania przez nią obowiązków określonych w  rozporządzeniu 2022/2560 (art. 13 ust. 5 rozporządzenia 2022/2560); </w:t>
      </w:r>
    </w:p>
    <w:p w14:paraId="55CEE68B" w14:textId="77777777" w:rsidR="00B155D4" w:rsidRPr="005C158A" w:rsidRDefault="00B155D4" w:rsidP="00DC6DF4">
      <w:pPr>
        <w:numPr>
          <w:ilvl w:val="0"/>
          <w:numId w:val="16"/>
        </w:numPr>
        <w:spacing w:after="0" w:line="360" w:lineRule="auto"/>
        <w:ind w:left="0" w:hanging="11"/>
        <w:jc w:val="both"/>
        <w:rPr>
          <w:rFonts w:ascii="Arial" w:eastAsia="Calibri" w:hAnsi="Arial" w:cs="Arial"/>
          <w:color w:val="000000"/>
          <w:sz w:val="20"/>
          <w:szCs w:val="20"/>
        </w:rPr>
      </w:pPr>
      <w:r w:rsidRPr="005C158A">
        <w:rPr>
          <w:rFonts w:ascii="Arial" w:eastAsia="Calibri" w:hAnsi="Arial" w:cs="Arial"/>
          <w:color w:val="000000"/>
          <w:sz w:val="20"/>
          <w:szCs w:val="20"/>
        </w:rPr>
        <w:t xml:space="preserve">na wniosek państwa członkowskiego lub Komisji pomoc urzędnikom i innym osobom upoważnionym przez Komisję w kontrolach przedsiębiorstw (w tym celu przysługują im następujące uprawnienia: wstępu do pomieszczeń, na teren i do środków transportu przedsiębiorstwa lub związku przedsiębiorstw; </w:t>
      </w:r>
      <w:r w:rsidRPr="005C158A">
        <w:rPr>
          <w:rFonts w:ascii="Arial" w:eastAsia="Calibri" w:hAnsi="Arial" w:cs="Arial"/>
          <w:sz w:val="20"/>
          <w:szCs w:val="20"/>
        </w:rPr>
        <w:t xml:space="preserve">badania ksiąg i innych rejestrów związanych z działalnością gospodarczą, </w:t>
      </w:r>
      <w:r w:rsidRPr="005C158A">
        <w:rPr>
          <w:rFonts w:ascii="Arial" w:eastAsia="Calibri" w:hAnsi="Arial" w:cs="Arial"/>
          <w:color w:val="000000"/>
          <w:sz w:val="20"/>
          <w:szCs w:val="20"/>
        </w:rPr>
        <w:t>niezależnie od tego, na jakim nośniku są one przechowywane, oraz do dostępu do informacji, którymi dysponuje podmiot objęty kontrolą, oraz</w:t>
      </w:r>
      <w:r w:rsidRPr="005C158A">
        <w:rPr>
          <w:rFonts w:ascii="Arial" w:eastAsia="Calibri" w:hAnsi="Arial" w:cs="Arial"/>
          <w:sz w:val="20"/>
          <w:szCs w:val="20"/>
        </w:rPr>
        <w:t xml:space="preserve"> do sporządzania lub żądania kopii lub wyciągów z tych ksiąg lub rejestrów;</w:t>
      </w:r>
      <w:r w:rsidRPr="005C158A">
        <w:rPr>
          <w:rFonts w:ascii="Arial" w:eastAsia="Calibri" w:hAnsi="Arial" w:cs="Arial"/>
          <w:w w:val="0"/>
          <w:sz w:val="20"/>
          <w:szCs w:val="20"/>
        </w:rPr>
        <w:t xml:space="preserve"> </w:t>
      </w:r>
      <w:r w:rsidRPr="005C158A">
        <w:rPr>
          <w:rFonts w:ascii="Arial" w:eastAsia="Calibri" w:hAnsi="Arial" w:cs="Arial"/>
          <w:sz w:val="20"/>
          <w:szCs w:val="20"/>
        </w:rPr>
        <w:t xml:space="preserve">zadawania pytań przedstawicielom lub członkom personelu przedsiębiorstwa </w:t>
      </w:r>
      <w:r w:rsidRPr="005C158A">
        <w:rPr>
          <w:rFonts w:ascii="Arial" w:eastAsia="Calibri" w:hAnsi="Arial" w:cs="Arial"/>
          <w:color w:val="000000"/>
          <w:sz w:val="20"/>
          <w:szCs w:val="20"/>
        </w:rPr>
        <w:t>lub związku przedsiębiorstw</w:t>
      </w:r>
      <w:r w:rsidRPr="005C158A">
        <w:rPr>
          <w:rFonts w:ascii="Arial" w:eastAsia="Calibri" w:hAnsi="Arial" w:cs="Arial"/>
          <w:sz w:val="20"/>
          <w:szCs w:val="20"/>
        </w:rPr>
        <w:t xml:space="preserve"> w celu uzyskania wyjaśnień co do faktów lub dokumentów dotyczących przedmiotu i celu kontroli oraz do rejestrowania odpowiedzi;</w:t>
      </w:r>
      <w:r w:rsidRPr="005C158A">
        <w:rPr>
          <w:rFonts w:ascii="Arial" w:eastAsia="Calibri" w:hAnsi="Arial" w:cs="Arial"/>
          <w:w w:val="0"/>
          <w:sz w:val="20"/>
          <w:szCs w:val="20"/>
        </w:rPr>
        <w:t xml:space="preserve"> </w:t>
      </w:r>
      <w:r w:rsidRPr="005C158A">
        <w:rPr>
          <w:rFonts w:ascii="Arial" w:eastAsia="Calibri" w:hAnsi="Arial" w:cs="Arial"/>
          <w:sz w:val="20"/>
          <w:szCs w:val="20"/>
        </w:rPr>
        <w:t>pieczętowania pomieszczeń przedsiębiorstwa i ksiąg lub rejestrów na czas i w zakresie koniecznym do przeprowadzenia kontroli</w:t>
      </w:r>
      <w:r w:rsidRPr="005C158A">
        <w:rPr>
          <w:rFonts w:ascii="Arial" w:eastAsia="Calibri" w:hAnsi="Arial" w:cs="Arial"/>
          <w:color w:val="000000"/>
          <w:sz w:val="20"/>
          <w:szCs w:val="20"/>
        </w:rPr>
        <w:t>) (art. 14 ust. 5 rozporządzenia 2022/2560);</w:t>
      </w:r>
    </w:p>
    <w:p w14:paraId="7D6F56B5" w14:textId="77777777" w:rsidR="00B155D4" w:rsidRPr="005C158A" w:rsidRDefault="00B155D4" w:rsidP="00DC6DF4">
      <w:pPr>
        <w:pStyle w:val="Akapitzlist"/>
        <w:numPr>
          <w:ilvl w:val="0"/>
          <w:numId w:val="6"/>
        </w:numPr>
        <w:tabs>
          <w:tab w:val="left" w:pos="567"/>
        </w:tabs>
        <w:spacing w:after="0" w:line="360" w:lineRule="auto"/>
        <w:ind w:left="0" w:firstLine="0"/>
        <w:jc w:val="both"/>
        <w:rPr>
          <w:rFonts w:ascii="Arial" w:hAnsi="Arial" w:cs="Arial"/>
          <w:sz w:val="20"/>
          <w:szCs w:val="20"/>
        </w:rPr>
      </w:pPr>
      <w:r w:rsidRPr="005C158A">
        <w:rPr>
          <w:rFonts w:ascii="Arial" w:hAnsi="Arial" w:cs="Arial"/>
          <w:sz w:val="20"/>
          <w:szCs w:val="20"/>
        </w:rPr>
        <w:t xml:space="preserve">na wniosek Komisji pomoc urzędnikom i innym osobom towarzyszącym upoważnionym przez Komisję w przypadku sprzeciwiania się kontroli ze strony przedsiębiorstwa lub związku przedsiębiorstw i zwracanie się, jeśli to stosowane, o pomoc policji lub równorzędnego organu egzekwowania prawa, aby umożliwić przeprowadzenie kontroli; wystąpienie o zezwolenie na taką pomoc do organu sądowego, jeśli jest ono wymagane (art. 14 ust. 6 rozporządzenia 2022/2560);                                                                                                                                                                                                                </w:t>
      </w:r>
    </w:p>
    <w:p w14:paraId="335E5364" w14:textId="77777777" w:rsidR="00B155D4" w:rsidRPr="005C158A" w:rsidRDefault="00B155D4" w:rsidP="00DC6DF4">
      <w:pPr>
        <w:pStyle w:val="Akapitzlist"/>
        <w:numPr>
          <w:ilvl w:val="0"/>
          <w:numId w:val="6"/>
        </w:numPr>
        <w:tabs>
          <w:tab w:val="left" w:pos="567"/>
        </w:tabs>
        <w:spacing w:after="0" w:line="360" w:lineRule="auto"/>
        <w:ind w:left="0" w:firstLine="0"/>
        <w:jc w:val="both"/>
        <w:rPr>
          <w:rFonts w:ascii="Arial" w:hAnsi="Arial" w:cs="Arial"/>
          <w:sz w:val="20"/>
          <w:szCs w:val="20"/>
        </w:rPr>
      </w:pPr>
      <w:r w:rsidRPr="005C158A">
        <w:rPr>
          <w:rFonts w:ascii="Arial" w:hAnsi="Arial" w:cs="Arial"/>
          <w:sz w:val="20"/>
          <w:szCs w:val="20"/>
        </w:rPr>
        <w:t>przeprowadzanie na wniosek Komisji kontroli lub innych czynności wyjaśniających mających na celu ustalenie faktów, czy istnieje subsydium zagraniczne zakłócające rynek wewnętrzny (art. 14 ust. 7 rozporządzenia 2022/2560);</w:t>
      </w:r>
    </w:p>
    <w:p w14:paraId="44B20410" w14:textId="77777777" w:rsidR="00B155D4" w:rsidRPr="005C158A" w:rsidRDefault="00B155D4" w:rsidP="00DC6DF4">
      <w:pPr>
        <w:pStyle w:val="Akapitzlist"/>
        <w:numPr>
          <w:ilvl w:val="0"/>
          <w:numId w:val="6"/>
        </w:numPr>
        <w:tabs>
          <w:tab w:val="left" w:pos="567"/>
        </w:tabs>
        <w:spacing w:after="0" w:line="360" w:lineRule="auto"/>
        <w:ind w:left="0" w:firstLine="0"/>
        <w:jc w:val="both"/>
        <w:rPr>
          <w:rFonts w:ascii="Arial" w:hAnsi="Arial" w:cs="Arial"/>
          <w:sz w:val="20"/>
          <w:szCs w:val="20"/>
        </w:rPr>
      </w:pPr>
      <w:r w:rsidRPr="005C158A">
        <w:rPr>
          <w:rFonts w:ascii="Arial" w:hAnsi="Arial" w:cs="Arial"/>
          <w:sz w:val="20"/>
          <w:szCs w:val="20"/>
        </w:rPr>
        <w:t>przekazywanie przez państwo członkowskie informacji w przypadku uznania, że mogą występować subsydia zagraniczne zakłócające rynek wewnętrzny (art. 35 ust. 1 rozporządzenia 2022/2560);</w:t>
      </w:r>
    </w:p>
    <w:p w14:paraId="7C52A064" w14:textId="77777777" w:rsidR="00B155D4" w:rsidRPr="005C158A" w:rsidRDefault="00B155D4" w:rsidP="00DC6DF4">
      <w:pPr>
        <w:pStyle w:val="Akapitzlist"/>
        <w:numPr>
          <w:ilvl w:val="0"/>
          <w:numId w:val="6"/>
        </w:numPr>
        <w:tabs>
          <w:tab w:val="left" w:pos="567"/>
        </w:tabs>
        <w:spacing w:after="0" w:line="360" w:lineRule="auto"/>
        <w:ind w:left="0" w:firstLine="0"/>
        <w:jc w:val="both"/>
        <w:rPr>
          <w:rFonts w:ascii="Arial" w:hAnsi="Arial" w:cs="Arial"/>
          <w:sz w:val="20"/>
          <w:szCs w:val="20"/>
        </w:rPr>
      </w:pPr>
      <w:r w:rsidRPr="005C158A">
        <w:rPr>
          <w:rFonts w:ascii="Arial" w:hAnsi="Arial" w:cs="Arial"/>
          <w:sz w:val="20"/>
          <w:szCs w:val="20"/>
        </w:rPr>
        <w:t>przekazanie Komisji informacji w ramach badania rynku (art. 36 ust. 1 rozporządzenia 2022/2560);</w:t>
      </w:r>
    </w:p>
    <w:p w14:paraId="08E02095" w14:textId="77777777" w:rsidR="00B155D4" w:rsidRPr="005C158A" w:rsidRDefault="00B155D4" w:rsidP="00DC6DF4">
      <w:pPr>
        <w:pStyle w:val="Akapitzlist"/>
        <w:numPr>
          <w:ilvl w:val="0"/>
          <w:numId w:val="6"/>
        </w:numPr>
        <w:tabs>
          <w:tab w:val="left" w:pos="567"/>
        </w:tabs>
        <w:spacing w:after="0" w:line="360" w:lineRule="auto"/>
        <w:ind w:left="0" w:firstLine="0"/>
        <w:jc w:val="both"/>
        <w:rPr>
          <w:rFonts w:ascii="Arial" w:hAnsi="Arial" w:cs="Arial"/>
          <w:sz w:val="20"/>
          <w:szCs w:val="20"/>
        </w:rPr>
      </w:pPr>
      <w:r w:rsidRPr="005C158A">
        <w:rPr>
          <w:rFonts w:ascii="Arial" w:hAnsi="Arial" w:cs="Arial"/>
          <w:sz w:val="20"/>
          <w:szCs w:val="20"/>
        </w:rPr>
        <w:t>zastosowanie mają przepisy art. 13, 14 (art. 36 ust. 4 rozporządzenia 2022/2560);</w:t>
      </w:r>
    </w:p>
    <w:p w14:paraId="194E982C" w14:textId="77777777" w:rsidR="00B155D4" w:rsidRPr="005C158A" w:rsidRDefault="00B155D4" w:rsidP="00DC6DF4">
      <w:pPr>
        <w:pStyle w:val="Akapitzlist"/>
        <w:numPr>
          <w:ilvl w:val="0"/>
          <w:numId w:val="6"/>
        </w:numPr>
        <w:tabs>
          <w:tab w:val="left" w:pos="567"/>
        </w:tabs>
        <w:spacing w:after="0" w:line="360" w:lineRule="auto"/>
        <w:ind w:left="0" w:firstLine="0"/>
        <w:jc w:val="both"/>
        <w:rPr>
          <w:rFonts w:ascii="Arial" w:hAnsi="Arial" w:cs="Arial"/>
          <w:sz w:val="20"/>
          <w:szCs w:val="20"/>
        </w:rPr>
      </w:pPr>
      <w:r w:rsidRPr="005C158A">
        <w:rPr>
          <w:rFonts w:ascii="Arial" w:hAnsi="Arial" w:cs="Arial"/>
          <w:sz w:val="20"/>
          <w:szCs w:val="20"/>
        </w:rPr>
        <w:t>egzekwowanie na wniosek Komisji grzywien i okresowych kar pieniężnych (art. 38 ust. 3 rozporządzenia 2022/2560).</w:t>
      </w:r>
    </w:p>
    <w:p w14:paraId="7730919E" w14:textId="77777777" w:rsidR="00B155D4" w:rsidRPr="005C158A" w:rsidRDefault="00B155D4" w:rsidP="00B155D4">
      <w:pPr>
        <w:spacing w:before="120" w:after="120" w:line="360" w:lineRule="auto"/>
        <w:jc w:val="both"/>
        <w:rPr>
          <w:rFonts w:ascii="Arial" w:eastAsia="Calibri" w:hAnsi="Arial" w:cs="Arial"/>
          <w:b/>
          <w:bCs/>
          <w:color w:val="000000"/>
          <w:sz w:val="20"/>
          <w:szCs w:val="20"/>
        </w:rPr>
      </w:pPr>
      <w:r w:rsidRPr="005C158A">
        <w:rPr>
          <w:rFonts w:ascii="Arial" w:hAnsi="Arial" w:cs="Arial"/>
          <w:sz w:val="20"/>
          <w:szCs w:val="20"/>
        </w:rPr>
        <w:t>Brak określenia regulacji ustawowej będzie powodować wątpliwości, który z organów będzie wykonywał zadania państwa członkowskiego określone w rozporządzeniu 2022/2560, gdyż przepisy krajowe nie przypisują wprost kompetencji wskazanych w rozporządzeniu 2022/2560 organowi krajowemu</w:t>
      </w:r>
      <w:r w:rsidRPr="005C158A">
        <w:rPr>
          <w:rFonts w:ascii="Arial" w:eastAsia="Calibri" w:hAnsi="Arial" w:cs="Arial"/>
          <w:sz w:val="20"/>
          <w:szCs w:val="20"/>
        </w:rPr>
        <w:t>. Ustawowe określenie organu do wykonywania zadań państwa członkowskiego określonych w rozporządzeniu 2022/2560 jest konieczne w celu zapewnienia skutecznej realizacji zadań Komisji określonych w tym rozporządzeniu. Ponadto jest niezbędne do realizacji zasady lojalnej współpracy pomiędzy Unią Europejską a państwami członkowskimi wskazanej w Traktacie o Funkcjonowaniu Unii Europejskiej.</w:t>
      </w:r>
    </w:p>
    <w:p w14:paraId="1D4F5F19" w14:textId="77777777" w:rsidR="00B155D4" w:rsidRPr="005C158A" w:rsidRDefault="00B155D4" w:rsidP="00B155D4">
      <w:pPr>
        <w:spacing w:before="120" w:after="120" w:line="360" w:lineRule="auto"/>
        <w:jc w:val="both"/>
        <w:rPr>
          <w:rFonts w:ascii="Arial" w:eastAsia="Calibri" w:hAnsi="Arial" w:cs="Arial"/>
          <w:sz w:val="20"/>
          <w:szCs w:val="20"/>
        </w:rPr>
      </w:pPr>
      <w:r w:rsidRPr="005C158A">
        <w:rPr>
          <w:rFonts w:ascii="Arial" w:eastAsia="Calibri" w:hAnsi="Arial" w:cs="Arial"/>
          <w:sz w:val="20"/>
          <w:szCs w:val="20"/>
        </w:rPr>
        <w:lastRenderedPageBreak/>
        <w:t xml:space="preserve">W projekcie nowelizacji ustawy o ochronie konkurencji i konsumentów proponuje się, aby organem właściwym do wykonywania zadań państwa członkowskiego określonych w rozporządzeniu 2022/2560 był Prezes Urzędu Ochrony Konkurencji i Konsumentów (zwany dalej „Prezesem UOKiK”). Powierzenie wykonywania zadań państwa członkowskiego wskazanych w rozporządzeniu 2022/2560 Prezesowi UOKiK uzasadnia zbieżność specyfiki postępowań prowadzonych przez Prezesa UOKiK jako centralnego organu administracji rządowej właściwego w sprawach ochrony konkurencji z postępowaniami, które ma prowadzić Komisja na mocy rozporządzenia 2022/2560. Zbieżność ta polega na badaniu w obu przypadkach finansowych aspektów działalności przedsiębiorstw i ich wpływu na rynek, w tym niwelowaniu </w:t>
      </w:r>
      <w:proofErr w:type="spellStart"/>
      <w:r w:rsidRPr="005C158A">
        <w:rPr>
          <w:rFonts w:ascii="Arial" w:eastAsia="Calibri" w:hAnsi="Arial" w:cs="Arial"/>
          <w:sz w:val="20"/>
          <w:szCs w:val="20"/>
        </w:rPr>
        <w:t>zachowań</w:t>
      </w:r>
      <w:proofErr w:type="spellEnd"/>
      <w:r w:rsidRPr="005C158A">
        <w:rPr>
          <w:rFonts w:ascii="Arial" w:eastAsia="Calibri" w:hAnsi="Arial" w:cs="Arial"/>
          <w:sz w:val="20"/>
          <w:szCs w:val="20"/>
        </w:rPr>
        <w:t xml:space="preserve"> ograniczających konkurencję. W przypadku Komisji jest to wpływ subsydiów (tj. wkładu finansowego, który obejmuje między innymi przeniesienie funduszy lub zobowiązań, zrzeczenie się dochodów, dostawę towarów lub usług bądź zakup towarów lub usług) na rynek wewnętrzny (w tym tych mających </w:t>
      </w:r>
      <w:proofErr w:type="spellStart"/>
      <w:r w:rsidRPr="005C158A">
        <w:rPr>
          <w:rFonts w:ascii="Arial" w:eastAsia="Calibri" w:hAnsi="Arial" w:cs="Arial"/>
          <w:sz w:val="20"/>
          <w:szCs w:val="20"/>
        </w:rPr>
        <w:t>antykonkurencyjny</w:t>
      </w:r>
      <w:proofErr w:type="spellEnd"/>
      <w:r w:rsidRPr="005C158A">
        <w:rPr>
          <w:rFonts w:ascii="Arial" w:eastAsia="Calibri" w:hAnsi="Arial" w:cs="Arial"/>
          <w:sz w:val="20"/>
          <w:szCs w:val="20"/>
        </w:rPr>
        <w:t xml:space="preserve"> charakter), w przypadku Prezesa UOKiK postępowania przez niego prowadzone dotyczą m.in. ustalania cen i innych warunków zakupu lub sprzedaży produktów, </w:t>
      </w:r>
      <w:r w:rsidRPr="005C158A">
        <w:rPr>
          <w:rStyle w:val="markedcontent"/>
          <w:rFonts w:ascii="Arial" w:hAnsi="Arial" w:cs="Arial"/>
          <w:sz w:val="20"/>
          <w:szCs w:val="20"/>
        </w:rPr>
        <w:t>podziału rynków zbytu lub zakupu,</w:t>
      </w:r>
      <w:r w:rsidRPr="005C158A">
        <w:rPr>
          <w:rFonts w:ascii="Arial" w:hAnsi="Arial" w:cs="Arial"/>
          <w:sz w:val="20"/>
          <w:szCs w:val="20"/>
        </w:rPr>
        <w:t xml:space="preserve"> </w:t>
      </w:r>
      <w:r w:rsidRPr="005C158A">
        <w:rPr>
          <w:rStyle w:val="markedcontent"/>
          <w:rFonts w:ascii="Arial" w:hAnsi="Arial" w:cs="Arial"/>
          <w:sz w:val="20"/>
          <w:szCs w:val="20"/>
        </w:rPr>
        <w:t>uzgadnianiu przez przedsiębiorców przystępujących do przetargu lub przez tych przedsiębiorców i</w:t>
      </w:r>
      <w:r w:rsidRPr="005C158A">
        <w:rPr>
          <w:rFonts w:ascii="Arial" w:hAnsi="Arial" w:cs="Arial"/>
          <w:sz w:val="20"/>
          <w:szCs w:val="20"/>
        </w:rPr>
        <w:t xml:space="preserve"> </w:t>
      </w:r>
      <w:r w:rsidRPr="005C158A">
        <w:rPr>
          <w:rStyle w:val="markedcontent"/>
          <w:rFonts w:ascii="Arial" w:hAnsi="Arial" w:cs="Arial"/>
          <w:sz w:val="20"/>
          <w:szCs w:val="20"/>
        </w:rPr>
        <w:t>przedsiębiorcę będącego organizatorem przetargu warunków składanych ofert, w szczególności</w:t>
      </w:r>
      <w:r w:rsidRPr="005C158A">
        <w:rPr>
          <w:rFonts w:ascii="Arial" w:hAnsi="Arial" w:cs="Arial"/>
          <w:sz w:val="20"/>
          <w:szCs w:val="20"/>
        </w:rPr>
        <w:t xml:space="preserve"> </w:t>
      </w:r>
      <w:r w:rsidRPr="005C158A">
        <w:rPr>
          <w:rStyle w:val="markedcontent"/>
          <w:rFonts w:ascii="Arial" w:hAnsi="Arial" w:cs="Arial"/>
          <w:sz w:val="20"/>
          <w:szCs w:val="20"/>
        </w:rPr>
        <w:t>zakresu prac lub cen</w:t>
      </w:r>
      <w:r w:rsidRPr="005C158A">
        <w:rPr>
          <w:rFonts w:ascii="Arial" w:eastAsia="Calibri" w:hAnsi="Arial" w:cs="Arial"/>
          <w:sz w:val="20"/>
          <w:szCs w:val="20"/>
        </w:rPr>
        <w:t xml:space="preserve">. </w:t>
      </w:r>
      <w:r w:rsidRPr="005C158A">
        <w:rPr>
          <w:rFonts w:ascii="Arial" w:hAnsi="Arial" w:cs="Arial"/>
          <w:sz w:val="20"/>
          <w:szCs w:val="20"/>
        </w:rPr>
        <w:t xml:space="preserve">Prezes UOKiK jest organem odpowiedzialnym za kształtowanie i realizację polityki ochrony konkurencji i podobnie, jak w przypadku postępowań Komisji bada, czy działania przedsiębiorców mają </w:t>
      </w:r>
      <w:proofErr w:type="spellStart"/>
      <w:r w:rsidRPr="005C158A">
        <w:rPr>
          <w:rFonts w:ascii="Arial" w:hAnsi="Arial" w:cs="Arial"/>
          <w:sz w:val="20"/>
          <w:szCs w:val="20"/>
        </w:rPr>
        <w:t>antykonkurencyjny</w:t>
      </w:r>
      <w:proofErr w:type="spellEnd"/>
      <w:r w:rsidRPr="005C158A">
        <w:rPr>
          <w:rFonts w:ascii="Arial" w:hAnsi="Arial" w:cs="Arial"/>
          <w:sz w:val="20"/>
          <w:szCs w:val="20"/>
        </w:rPr>
        <w:t xml:space="preserve"> charakter (np. te zawarte w art. 6 i art. 9 ustawy </w:t>
      </w:r>
      <w:r w:rsidRPr="005C158A">
        <w:rPr>
          <w:rFonts w:ascii="Arial" w:eastAsia="Calibri" w:hAnsi="Arial" w:cs="Arial"/>
          <w:sz w:val="20"/>
          <w:szCs w:val="20"/>
        </w:rPr>
        <w:t>o ochronie konkurencji i konsumentów</w:t>
      </w:r>
      <w:r w:rsidRPr="005C158A">
        <w:rPr>
          <w:rStyle w:val="markedcontent"/>
          <w:rFonts w:ascii="Arial" w:hAnsi="Arial" w:cs="Arial"/>
          <w:sz w:val="20"/>
          <w:szCs w:val="20"/>
        </w:rPr>
        <w:t>)</w:t>
      </w:r>
      <w:r w:rsidRPr="005C158A">
        <w:rPr>
          <w:rFonts w:ascii="Arial" w:eastAsia="Calibri" w:hAnsi="Arial" w:cs="Arial"/>
          <w:sz w:val="20"/>
          <w:szCs w:val="20"/>
        </w:rPr>
        <w:t xml:space="preserve">. Co więcej, zadania, które na podstawie projektowanej ustawy ma wykonywać Prezes UOKiK pokrywają się z katalogiem działań już podejmowanych przez Prezesa UOKiK w toku prowadzonych postępowań i realizowanych na mocy ustawy o </w:t>
      </w:r>
      <w:bookmarkStart w:id="73" w:name="_Hlk131168882"/>
      <w:r w:rsidRPr="005C158A">
        <w:rPr>
          <w:rStyle w:val="markedcontent"/>
          <w:rFonts w:ascii="Arial" w:hAnsi="Arial" w:cs="Arial"/>
          <w:sz w:val="20"/>
          <w:szCs w:val="20"/>
        </w:rPr>
        <w:t>ochronie konkurencji i konsumentów</w:t>
      </w:r>
      <w:r w:rsidRPr="005C158A">
        <w:rPr>
          <w:rFonts w:ascii="Arial" w:eastAsia="Calibri" w:hAnsi="Arial" w:cs="Arial"/>
          <w:sz w:val="20"/>
          <w:szCs w:val="20"/>
        </w:rPr>
        <w:t xml:space="preserve">.  </w:t>
      </w:r>
      <w:bookmarkEnd w:id="73"/>
      <w:r w:rsidRPr="005C158A">
        <w:rPr>
          <w:rFonts w:ascii="Arial" w:eastAsia="Calibri" w:hAnsi="Arial" w:cs="Arial"/>
          <w:sz w:val="20"/>
          <w:szCs w:val="20"/>
        </w:rPr>
        <w:t xml:space="preserve">Czynności takie jakie jak wymiana informacji, wchodzenie na teren przedsiębiorstw, przeprowadzanie kontroli w siedzibie przedsiębiorcy, przesłuchiwanie świadków, egzekwowanie kar pieniężnych mogą być stosowane przez Prezesa UOKiK przy realizacji działań określonych w art. 31 ustawy o ochronie konkurencji i konsumentów, wśród których zwrócić należy uwagę m.in. na: </w:t>
      </w:r>
      <w:r w:rsidRPr="005C158A">
        <w:rPr>
          <w:rStyle w:val="markedcontent"/>
          <w:rFonts w:ascii="Arial" w:hAnsi="Arial" w:cs="Arial"/>
          <w:sz w:val="20"/>
          <w:szCs w:val="20"/>
        </w:rPr>
        <w:t>współpracę z krajowymi i międzynarodowymi organami i organizacjami, do</w:t>
      </w:r>
      <w:r w:rsidRPr="005C158A">
        <w:rPr>
          <w:rFonts w:ascii="Arial" w:hAnsi="Arial" w:cs="Arial"/>
          <w:sz w:val="20"/>
          <w:szCs w:val="20"/>
        </w:rPr>
        <w:t xml:space="preserve"> </w:t>
      </w:r>
      <w:r w:rsidRPr="005C158A">
        <w:rPr>
          <w:rStyle w:val="markedcontent"/>
          <w:rFonts w:ascii="Arial" w:hAnsi="Arial" w:cs="Arial"/>
          <w:sz w:val="20"/>
          <w:szCs w:val="20"/>
        </w:rPr>
        <w:t>których zakresu działania należy ochrona konkurencji i konsumentów (pkt 5), występowanie do przedsiębiorców w sprawach z zakresu ochrony konkurencji</w:t>
      </w:r>
      <w:r w:rsidRPr="005C158A">
        <w:rPr>
          <w:rFonts w:ascii="Arial" w:hAnsi="Arial" w:cs="Arial"/>
          <w:sz w:val="20"/>
          <w:szCs w:val="20"/>
        </w:rPr>
        <w:t xml:space="preserve"> </w:t>
      </w:r>
      <w:r w:rsidRPr="005C158A">
        <w:rPr>
          <w:rStyle w:val="markedcontent"/>
          <w:rFonts w:ascii="Arial" w:hAnsi="Arial" w:cs="Arial"/>
          <w:sz w:val="20"/>
          <w:szCs w:val="20"/>
        </w:rPr>
        <w:t>i konsumentów (pkt 13) czy też realizację zobowiązań międzynarodowych Rzeczypospolitej Polskiej w zakresie</w:t>
      </w:r>
      <w:r w:rsidRPr="005C158A">
        <w:rPr>
          <w:rFonts w:ascii="Arial" w:hAnsi="Arial" w:cs="Arial"/>
          <w:sz w:val="20"/>
          <w:szCs w:val="20"/>
        </w:rPr>
        <w:t xml:space="preserve"> </w:t>
      </w:r>
      <w:r w:rsidRPr="005C158A">
        <w:rPr>
          <w:rStyle w:val="markedcontent"/>
          <w:rFonts w:ascii="Arial" w:hAnsi="Arial" w:cs="Arial"/>
          <w:sz w:val="20"/>
          <w:szCs w:val="20"/>
        </w:rPr>
        <w:t>współpracy i wymiany informacji w sprawach ochrony konkurencji</w:t>
      </w:r>
      <w:r w:rsidRPr="005C158A">
        <w:rPr>
          <w:rFonts w:ascii="Arial" w:hAnsi="Arial" w:cs="Arial"/>
          <w:sz w:val="20"/>
          <w:szCs w:val="20"/>
        </w:rPr>
        <w:t xml:space="preserve"> </w:t>
      </w:r>
      <w:r w:rsidRPr="005C158A">
        <w:rPr>
          <w:rStyle w:val="markedcontent"/>
          <w:rFonts w:ascii="Arial" w:hAnsi="Arial" w:cs="Arial"/>
          <w:sz w:val="20"/>
          <w:szCs w:val="20"/>
        </w:rPr>
        <w:t xml:space="preserve">i konsumentów oraz pomocy publicznej (pkt 14). </w:t>
      </w:r>
      <w:r w:rsidRPr="005C158A">
        <w:rPr>
          <w:rFonts w:ascii="Arial" w:eastAsia="Calibri" w:hAnsi="Arial" w:cs="Arial"/>
          <w:sz w:val="20"/>
          <w:szCs w:val="20"/>
        </w:rPr>
        <w:t>Wykorzystanie dotychczasowego doświadczenia Prezesa UOKiK pozwoli tym samym na optymalizację zasobów organizacyjnych i kadrowych przy realizacji zadań wskazanych w rozporządzeniu 2022/2560. Ponadto wybór jednego organu właściwego do realizacji tych zadań zapewni niezbędny stopień współpracy z Komisją oraz odpowiedni poziom specjalizacji, m.in. dzięki skumulowaniu przez jeden organ pełni wiedzy dot. specyfiki postepowań prowadzonych przez Komisję.</w:t>
      </w:r>
    </w:p>
    <w:p w14:paraId="09000FF0" w14:textId="3A3055F2" w:rsidR="00B155D4" w:rsidRPr="005C158A" w:rsidRDefault="00B155D4" w:rsidP="00B155D4">
      <w:pPr>
        <w:spacing w:after="120" w:line="360" w:lineRule="auto"/>
        <w:jc w:val="both"/>
        <w:rPr>
          <w:rFonts w:ascii="Arial" w:hAnsi="Arial" w:cs="Arial"/>
          <w:sz w:val="20"/>
          <w:szCs w:val="20"/>
        </w:rPr>
      </w:pPr>
      <w:r w:rsidRPr="005C158A">
        <w:rPr>
          <w:rFonts w:ascii="Arial" w:eastAsia="Calibri" w:hAnsi="Arial" w:cs="Arial"/>
          <w:sz w:val="20"/>
          <w:szCs w:val="20"/>
        </w:rPr>
        <w:t>W projektowanej ustawie proponuje się, aby wykonując zadania państwa członkowskiego wskazan</w:t>
      </w:r>
      <w:r w:rsidR="00FE5F62" w:rsidRPr="005C158A">
        <w:rPr>
          <w:rFonts w:ascii="Arial" w:eastAsia="Calibri" w:hAnsi="Arial" w:cs="Arial"/>
          <w:sz w:val="20"/>
          <w:szCs w:val="20"/>
        </w:rPr>
        <w:t>e</w:t>
      </w:r>
      <w:r w:rsidRPr="005C158A">
        <w:rPr>
          <w:rFonts w:ascii="Arial" w:eastAsia="Calibri" w:hAnsi="Arial" w:cs="Arial"/>
          <w:sz w:val="20"/>
          <w:szCs w:val="20"/>
        </w:rPr>
        <w:t xml:space="preserve"> w rozporządzeniu 2022/2560 Prezes UOKiK mógł zwracać się do innych organów o przekazanie stosownych informacji, </w:t>
      </w:r>
      <w:r w:rsidR="003C1D35" w:rsidRPr="005C158A">
        <w:rPr>
          <w:rFonts w:ascii="Arial" w:eastAsia="Calibri" w:hAnsi="Arial" w:cs="Arial"/>
          <w:sz w:val="20"/>
          <w:szCs w:val="20"/>
        </w:rPr>
        <w:t xml:space="preserve">w zakresie, w jakim </w:t>
      </w:r>
      <w:r w:rsidR="00F07E76" w:rsidRPr="005C158A">
        <w:rPr>
          <w:rFonts w:ascii="Arial" w:hAnsi="Arial" w:cs="Arial"/>
          <w:sz w:val="20"/>
          <w:szCs w:val="20"/>
        </w:rPr>
        <w:t>nimi dysponują w związku z posiadanymi kompetencjami</w:t>
      </w:r>
      <w:r w:rsidR="003C1D35" w:rsidRPr="005C158A">
        <w:rPr>
          <w:rFonts w:ascii="Arial" w:eastAsia="Calibri" w:hAnsi="Arial" w:cs="Arial"/>
          <w:sz w:val="20"/>
          <w:szCs w:val="20"/>
        </w:rPr>
        <w:t xml:space="preserve">, </w:t>
      </w:r>
      <w:r w:rsidRPr="005C158A">
        <w:rPr>
          <w:rFonts w:ascii="Arial" w:eastAsia="Calibri" w:hAnsi="Arial" w:cs="Arial"/>
          <w:sz w:val="20"/>
          <w:szCs w:val="20"/>
        </w:rPr>
        <w:t xml:space="preserve">w szczególności </w:t>
      </w:r>
      <w:r w:rsidR="003C1D35" w:rsidRPr="005C158A">
        <w:rPr>
          <w:rFonts w:ascii="Arial" w:eastAsia="Calibri" w:hAnsi="Arial" w:cs="Arial"/>
          <w:sz w:val="20"/>
          <w:szCs w:val="20"/>
        </w:rPr>
        <w:t xml:space="preserve">do </w:t>
      </w:r>
      <w:r w:rsidRPr="005C158A">
        <w:rPr>
          <w:rFonts w:ascii="Arial" w:eastAsia="Calibri" w:hAnsi="Arial" w:cs="Arial"/>
          <w:sz w:val="20"/>
          <w:szCs w:val="20"/>
        </w:rPr>
        <w:t xml:space="preserve">Prezesa Urzędu Zamówień Publicznych (zwanego dalej „Prezesem UZP”). Szczególna rola Prezesa UZP w przekazywaniu informacji </w:t>
      </w:r>
      <w:r w:rsidR="00F07E76" w:rsidRPr="005C158A">
        <w:rPr>
          <w:rFonts w:ascii="Arial" w:hAnsi="Arial" w:cs="Arial"/>
          <w:sz w:val="20"/>
          <w:szCs w:val="20"/>
        </w:rPr>
        <w:t xml:space="preserve">dotyczących postępowań o udzielenie </w:t>
      </w:r>
      <w:r w:rsidR="00F07E76" w:rsidRPr="005C158A">
        <w:rPr>
          <w:rFonts w:ascii="Arial" w:hAnsi="Arial" w:cs="Arial"/>
          <w:sz w:val="20"/>
          <w:szCs w:val="20"/>
        </w:rPr>
        <w:lastRenderedPageBreak/>
        <w:t>zamówienia publicznego</w:t>
      </w:r>
      <w:r w:rsidRPr="005C158A">
        <w:rPr>
          <w:rFonts w:ascii="Arial" w:eastAsia="Calibri" w:hAnsi="Arial" w:cs="Arial"/>
          <w:sz w:val="20"/>
          <w:szCs w:val="20"/>
        </w:rPr>
        <w:t xml:space="preserve"> wynika z faktu, że jednym z dwóch głównych obszarów, które będzie monitorować Komisja na podstawie rozporządzenia 2022/2560 są zamówienia publiczne. Co więcej, </w:t>
      </w:r>
      <w:r w:rsidRPr="005C158A">
        <w:rPr>
          <w:rFonts w:ascii="Arial" w:hAnsi="Arial" w:cs="Arial"/>
          <w:sz w:val="20"/>
          <w:szCs w:val="20"/>
        </w:rPr>
        <w:t>subsydium zagraniczne umożliwiające przedsiębiorstwu złożenie niezasadnie korzystnej oferty, na podstawie której przedsiębiorstwu temu mogłoby zostać udzielone dane zamówienie wskazano w art. 5 lit. e rozporządzenia 2022/2560 jako te, w przypadku którego prawdopodobieństwo zakłócenia rynku jest najwyższe</w:t>
      </w:r>
      <w:bookmarkStart w:id="74" w:name="_Hlk126832419"/>
      <w:r w:rsidRPr="005C158A">
        <w:rPr>
          <w:rFonts w:ascii="Arial" w:hAnsi="Arial" w:cs="Arial"/>
          <w:sz w:val="20"/>
          <w:szCs w:val="20"/>
        </w:rPr>
        <w:t xml:space="preserve">. </w:t>
      </w:r>
    </w:p>
    <w:bookmarkEnd w:id="74"/>
    <w:p w14:paraId="62701319" w14:textId="77777777" w:rsidR="00B155D4" w:rsidRPr="005C158A" w:rsidRDefault="00B155D4" w:rsidP="00B155D4">
      <w:pPr>
        <w:spacing w:before="120" w:after="120" w:line="360" w:lineRule="auto"/>
        <w:jc w:val="both"/>
        <w:rPr>
          <w:rFonts w:ascii="Arial" w:eastAsia="Calibri" w:hAnsi="Arial" w:cs="Arial"/>
          <w:sz w:val="20"/>
          <w:szCs w:val="20"/>
        </w:rPr>
      </w:pPr>
      <w:r w:rsidRPr="005C158A">
        <w:rPr>
          <w:rFonts w:ascii="Arial" w:eastAsia="Calibri" w:hAnsi="Arial" w:cs="Arial"/>
          <w:sz w:val="20"/>
          <w:szCs w:val="20"/>
        </w:rPr>
        <w:t>Szczegółowe zadania Prezesa UOKiK:</w:t>
      </w:r>
    </w:p>
    <w:p w14:paraId="009986AB" w14:textId="77777777" w:rsidR="00B155D4" w:rsidRPr="005C158A" w:rsidRDefault="00B155D4" w:rsidP="00B155D4">
      <w:pPr>
        <w:spacing w:before="120" w:after="120" w:line="360" w:lineRule="auto"/>
        <w:jc w:val="both"/>
        <w:rPr>
          <w:rFonts w:ascii="Arial" w:eastAsia="Calibri" w:hAnsi="Arial" w:cs="Arial"/>
          <w:sz w:val="20"/>
          <w:szCs w:val="20"/>
        </w:rPr>
      </w:pPr>
      <w:r w:rsidRPr="005C158A">
        <w:rPr>
          <w:rFonts w:ascii="Arial" w:eastAsia="Calibri" w:hAnsi="Arial" w:cs="Arial"/>
          <w:sz w:val="20"/>
          <w:szCs w:val="20"/>
        </w:rPr>
        <w:t>Prezes UOKiK realizuje zadania określone w następujących przepisach rozporządzenia 2022/2560:</w:t>
      </w:r>
    </w:p>
    <w:p w14:paraId="1CD006C5" w14:textId="77777777" w:rsidR="00B155D4" w:rsidRPr="005C158A" w:rsidRDefault="00B155D4" w:rsidP="00DC6DF4">
      <w:pPr>
        <w:pStyle w:val="Akapitzlist"/>
        <w:numPr>
          <w:ilvl w:val="0"/>
          <w:numId w:val="17"/>
        </w:numPr>
        <w:spacing w:after="0" w:line="360" w:lineRule="auto"/>
        <w:ind w:left="0" w:hanging="6"/>
        <w:contextualSpacing w:val="0"/>
        <w:jc w:val="both"/>
        <w:rPr>
          <w:rFonts w:ascii="Arial" w:eastAsia="Calibri" w:hAnsi="Arial" w:cs="Arial"/>
          <w:sz w:val="20"/>
          <w:szCs w:val="20"/>
        </w:rPr>
      </w:pPr>
      <w:r w:rsidRPr="005C158A">
        <w:rPr>
          <w:rFonts w:ascii="Arial" w:eastAsia="Calibri" w:hAnsi="Arial" w:cs="Arial"/>
          <w:sz w:val="20"/>
          <w:szCs w:val="20"/>
        </w:rPr>
        <w:t xml:space="preserve">w art. 13 ustęp 5, tj. przekazuje informacje, o które wnioskuje Komisja. W tym celu może zwrócić się do Prezesa UZP i innych organów o przekazanie informacji niezbędnych do realizacji tego zadania; </w:t>
      </w:r>
    </w:p>
    <w:p w14:paraId="73A07354" w14:textId="77777777" w:rsidR="00B155D4" w:rsidRPr="005C158A" w:rsidRDefault="00B155D4" w:rsidP="00DC6DF4">
      <w:pPr>
        <w:pStyle w:val="Akapitzlist"/>
        <w:numPr>
          <w:ilvl w:val="0"/>
          <w:numId w:val="17"/>
        </w:numPr>
        <w:spacing w:after="0" w:line="360" w:lineRule="auto"/>
        <w:ind w:left="0" w:hanging="6"/>
        <w:contextualSpacing w:val="0"/>
        <w:jc w:val="both"/>
        <w:rPr>
          <w:rFonts w:ascii="Arial" w:eastAsia="Calibri" w:hAnsi="Arial" w:cs="Arial"/>
          <w:sz w:val="20"/>
          <w:szCs w:val="20"/>
        </w:rPr>
      </w:pPr>
      <w:r w:rsidRPr="005C158A">
        <w:rPr>
          <w:rFonts w:ascii="Arial" w:eastAsia="Calibri" w:hAnsi="Arial" w:cs="Arial"/>
          <w:sz w:val="20"/>
          <w:szCs w:val="20"/>
        </w:rPr>
        <w:t>w art. 14 ust. 5, tj. na wniosek Komisji upoważnia odpowiednich pracowników UOKiK do pomocy pracownikom Komisji w przeprowadzeniu kontroli przedsiębiorstwa lub przedsiębiorstw mającej na celu zbadanie istnienia subsydium zagranicznego zakłócającego rynek wewnętrzny;</w:t>
      </w:r>
    </w:p>
    <w:p w14:paraId="6D7558F5" w14:textId="77777777" w:rsidR="00B155D4" w:rsidRPr="005C158A" w:rsidRDefault="00B155D4" w:rsidP="00DC6DF4">
      <w:pPr>
        <w:pStyle w:val="Akapitzlist"/>
        <w:numPr>
          <w:ilvl w:val="0"/>
          <w:numId w:val="17"/>
        </w:numPr>
        <w:spacing w:after="0" w:line="360" w:lineRule="auto"/>
        <w:ind w:left="0" w:hanging="6"/>
        <w:contextualSpacing w:val="0"/>
        <w:jc w:val="both"/>
        <w:rPr>
          <w:rFonts w:ascii="Arial" w:eastAsia="Calibri" w:hAnsi="Arial" w:cs="Arial"/>
          <w:sz w:val="20"/>
          <w:szCs w:val="20"/>
        </w:rPr>
      </w:pPr>
      <w:r w:rsidRPr="005C158A">
        <w:rPr>
          <w:rFonts w:ascii="Arial" w:eastAsia="Calibri" w:hAnsi="Arial" w:cs="Arial"/>
          <w:sz w:val="20"/>
          <w:szCs w:val="20"/>
        </w:rPr>
        <w:t>w art. 14 ust. 6, tj. w przypadku sprzeciwu ze strony przedsiębiorcy na przeprowadzenie kontroli, może zwrócić się o udzielenie pomocy funkcjonariuszy Policji jednostki właściwej ze względu na siedzibę beneficjenta subsydium;</w:t>
      </w:r>
    </w:p>
    <w:p w14:paraId="5D2ADB70" w14:textId="111137A2" w:rsidR="003C1D35" w:rsidRPr="005C158A" w:rsidRDefault="003C1D35" w:rsidP="00DC6DF4">
      <w:pPr>
        <w:pStyle w:val="Akapitzlist"/>
        <w:numPr>
          <w:ilvl w:val="0"/>
          <w:numId w:val="17"/>
        </w:numPr>
        <w:spacing w:after="0" w:line="360" w:lineRule="auto"/>
        <w:ind w:left="0" w:hanging="6"/>
        <w:contextualSpacing w:val="0"/>
        <w:jc w:val="both"/>
        <w:rPr>
          <w:rFonts w:ascii="Arial" w:eastAsia="Calibri" w:hAnsi="Arial" w:cs="Arial"/>
          <w:sz w:val="20"/>
          <w:szCs w:val="20"/>
        </w:rPr>
      </w:pPr>
      <w:r w:rsidRPr="005C158A">
        <w:rPr>
          <w:rFonts w:ascii="Arial" w:hAnsi="Arial" w:cs="Arial"/>
          <w:sz w:val="20"/>
          <w:szCs w:val="20"/>
        </w:rPr>
        <w:t>w art. 14 ust. 7, tj. na wniosek Komisji upoważnia odpowiednich pracowników UOKiK do przeprowadzenia innych czynności wyjaśniających, mających na celu ustalenie, czy istnieje subsydium zagraniczne zakłócające rynek wewnętrzny (do zakresu czynności wyjaśniających należą przeszukania, dowód ze świadków, przesłuchanie świadków przez właściwy miejscowo sąd rejonowy);</w:t>
      </w:r>
    </w:p>
    <w:p w14:paraId="16FE264C" w14:textId="77777777" w:rsidR="00B155D4" w:rsidRPr="005C158A" w:rsidRDefault="00B155D4" w:rsidP="00DC6DF4">
      <w:pPr>
        <w:pStyle w:val="Akapitzlist"/>
        <w:numPr>
          <w:ilvl w:val="0"/>
          <w:numId w:val="17"/>
        </w:numPr>
        <w:spacing w:after="0" w:line="360" w:lineRule="auto"/>
        <w:ind w:left="0" w:hanging="6"/>
        <w:contextualSpacing w:val="0"/>
        <w:jc w:val="both"/>
        <w:rPr>
          <w:rFonts w:ascii="Arial" w:eastAsia="Calibri" w:hAnsi="Arial" w:cs="Arial"/>
          <w:sz w:val="20"/>
          <w:szCs w:val="20"/>
        </w:rPr>
      </w:pPr>
      <w:r w:rsidRPr="005C158A">
        <w:rPr>
          <w:rFonts w:ascii="Arial" w:eastAsia="Calibri" w:hAnsi="Arial" w:cs="Arial"/>
          <w:sz w:val="20"/>
          <w:szCs w:val="20"/>
        </w:rPr>
        <w:t>w art. 35 ust. 1, tj. przekazuje Komisji informacje (pozyskane również od Prezesa UZP, a także innych organów) dot. występowania subsydiów zagranicznych i ich zakłócającego charakteru, a także pozytywnych efektów subsydiów;</w:t>
      </w:r>
    </w:p>
    <w:p w14:paraId="13E1FFFB" w14:textId="77777777" w:rsidR="00B155D4" w:rsidRPr="005C158A" w:rsidRDefault="00B155D4" w:rsidP="00B155D4">
      <w:pPr>
        <w:spacing w:line="360" w:lineRule="auto"/>
        <w:jc w:val="both"/>
        <w:rPr>
          <w:rFonts w:ascii="Arial" w:hAnsi="Arial" w:cs="Arial"/>
          <w:sz w:val="20"/>
          <w:szCs w:val="20"/>
        </w:rPr>
      </w:pPr>
      <w:r w:rsidRPr="005C158A">
        <w:rPr>
          <w:rFonts w:ascii="Arial" w:hAnsi="Arial" w:cs="Arial"/>
          <w:sz w:val="20"/>
          <w:szCs w:val="20"/>
        </w:rPr>
        <w:t xml:space="preserve">W sprawach egzekucji grzywien i okresowych kar pieniężnych zastosowanie znajduje art. 299 TFUE. Zgodnie z tym przepisem decyzje Komisji, które nakładają zobowiązanie pieniężne na podmioty inne niż Państwa stanowią tytuł egzekucyjny. Postępowanie egzekucyjne jest regulowane przez przepisy procedury cywilnej obowiązujące w Państwie, na terytorium którego ma ono miejsce. Klauzula wykonalności jest nadawana, bez jakiejkolwiek kontroli innej niż weryfikacja autentyczności tytułu, przez wyznaczony w tym celu przez rząd Państwa Członkowskiego organ krajowy, o którym zostanie powiadomiona Komisja i Trybunał Sprawiedliwości Unii Europejskiej. W związku z powyższym w projekcie ustawy grzywny i okresowe kary pieniężne nakładane przez Komisję wykonuje się zgodnie z przepisami postępowania cywilnego, tj. na drodze egzekucji sądowej. </w:t>
      </w:r>
    </w:p>
    <w:p w14:paraId="6025FBAD" w14:textId="77777777" w:rsidR="00B155D4" w:rsidRPr="005C158A" w:rsidRDefault="00B155D4" w:rsidP="00B155D4">
      <w:pPr>
        <w:spacing w:line="360" w:lineRule="auto"/>
        <w:jc w:val="both"/>
        <w:rPr>
          <w:rFonts w:ascii="Arial" w:hAnsi="Arial" w:cs="Arial"/>
          <w:sz w:val="20"/>
          <w:szCs w:val="20"/>
        </w:rPr>
      </w:pPr>
      <w:r w:rsidRPr="005C158A">
        <w:rPr>
          <w:rFonts w:ascii="Arial" w:hAnsi="Arial" w:cs="Arial"/>
          <w:sz w:val="20"/>
          <w:szCs w:val="20"/>
        </w:rPr>
        <w:t xml:space="preserve">W ramach dostosowania polskiego ustawodawstwa do przepisów rozporządzenia 2022/2560 zaproponowano także zmianę, która umożliwi przekazywanie Komisji na podstawie rozporządzenia 2022/2560 informacji uzyskanych w toku postępowań przed Prezesem UOKiK. W obecnym stanie prawnym bez wskazania rozporządzenia 2022/2560 jako wyjątku w art. 73 ust. 2 ustawy z dnia 16 lutego 2007 r. o ochronie konkurencji i konsumentów informacje uzyskane w toku postepowań przez Prezesem UOKiK nie mogłyby być przekazywane Komisji.  </w:t>
      </w:r>
    </w:p>
    <w:p w14:paraId="2C34FE3B" w14:textId="77777777" w:rsidR="00B155D4" w:rsidRPr="005C158A" w:rsidRDefault="00B155D4" w:rsidP="00B155D4">
      <w:pPr>
        <w:spacing w:line="360" w:lineRule="auto"/>
        <w:jc w:val="both"/>
        <w:rPr>
          <w:rFonts w:ascii="Arial" w:hAnsi="Arial" w:cs="Arial"/>
          <w:sz w:val="20"/>
          <w:szCs w:val="20"/>
        </w:rPr>
      </w:pPr>
      <w:r w:rsidRPr="005C158A">
        <w:rPr>
          <w:rFonts w:ascii="Arial" w:hAnsi="Arial" w:cs="Arial"/>
          <w:sz w:val="20"/>
          <w:szCs w:val="20"/>
        </w:rPr>
        <w:lastRenderedPageBreak/>
        <w:t xml:space="preserve">Nowelizacja przepisów wpisuje się w zakres działań pro-przedsiębiorczych mających na celu ułatwienie prowadzenia działalności gospodarczej. Umożliwią one podjęcie współpracy organu krajowego z Komisją Europejską, co w efekcie pozwoli na stworzenie mechanizmu kontroli subsydiów zagranicznych na rynku wewnętrznym i niwelowanie tych subsydiów, które zakłócają jego funkcjonowanie. Mechanizm ten ma przyczynić się do wyrównywania szans dla wszystkich przedsiębiorców działających na rynku wewnętrznym UE. </w:t>
      </w:r>
    </w:p>
    <w:p w14:paraId="449C013D" w14:textId="77777777" w:rsidR="00F3131D" w:rsidRPr="005C158A" w:rsidRDefault="00F3131D" w:rsidP="00F3131D">
      <w:pPr>
        <w:pStyle w:val="Nagwek2"/>
        <w:spacing w:before="120" w:after="120" w:line="360" w:lineRule="auto"/>
        <w:jc w:val="both"/>
        <w:rPr>
          <w:rFonts w:ascii="Arial" w:hAnsi="Arial" w:cs="Arial"/>
          <w:color w:val="auto"/>
          <w:sz w:val="20"/>
          <w:szCs w:val="20"/>
        </w:rPr>
      </w:pPr>
      <w:bookmarkStart w:id="75" w:name="_Toc132054016"/>
      <w:bookmarkStart w:id="76" w:name="_Toc138329776"/>
      <w:r w:rsidRPr="005C158A">
        <w:rPr>
          <w:rFonts w:ascii="Arial" w:hAnsi="Arial" w:cs="Arial"/>
          <w:color w:val="auto"/>
          <w:sz w:val="20"/>
          <w:szCs w:val="20"/>
        </w:rPr>
        <w:t>Ustawa z dnia 21 listopada 2008 r. o wspieraniu termomodernizacji i remontów oraz o centralnej ewidencji emisyjności budynków</w:t>
      </w:r>
      <w:bookmarkEnd w:id="75"/>
      <w:bookmarkEnd w:id="76"/>
      <w:r w:rsidRPr="005C158A">
        <w:rPr>
          <w:rFonts w:ascii="Arial" w:hAnsi="Arial" w:cs="Arial"/>
          <w:color w:val="auto"/>
          <w:sz w:val="20"/>
          <w:szCs w:val="20"/>
        </w:rPr>
        <w:t xml:space="preserve"> </w:t>
      </w:r>
    </w:p>
    <w:p w14:paraId="2FE860EB" w14:textId="2E7BD21C" w:rsidR="00F3131D" w:rsidRPr="005C158A" w:rsidRDefault="00F3131D" w:rsidP="00F3131D">
      <w:pPr>
        <w:spacing w:line="360" w:lineRule="auto"/>
        <w:jc w:val="both"/>
        <w:rPr>
          <w:rFonts w:ascii="Arial" w:hAnsi="Arial" w:cs="Arial"/>
          <w:sz w:val="20"/>
          <w:szCs w:val="20"/>
        </w:rPr>
      </w:pPr>
      <w:r w:rsidRPr="005C158A">
        <w:rPr>
          <w:rFonts w:ascii="Arial" w:hAnsi="Arial" w:cs="Arial"/>
          <w:sz w:val="20"/>
          <w:szCs w:val="20"/>
        </w:rPr>
        <w:t xml:space="preserve">Wprowadzenie ustawowych przepisów umożliwiających zarządowi spółdzielni </w:t>
      </w:r>
      <w:r w:rsidR="00CE7825" w:rsidRPr="005C158A">
        <w:rPr>
          <w:rFonts w:ascii="Arial" w:hAnsi="Arial" w:cs="Arial"/>
          <w:sz w:val="20"/>
          <w:szCs w:val="20"/>
        </w:rPr>
        <w:t xml:space="preserve">mieszkaniowej </w:t>
      </w:r>
      <w:r w:rsidRPr="005C158A">
        <w:rPr>
          <w:rFonts w:ascii="Arial" w:hAnsi="Arial" w:cs="Arial"/>
          <w:sz w:val="20"/>
          <w:szCs w:val="20"/>
        </w:rPr>
        <w:t xml:space="preserve">podejmowanie decyzji w sprawie zaciągnięcia kredytu w celu realizacji przedsięwzięć termomodernizacyjnych i OZE, które to kredyty będą częściowo lub w całości spłacane z funduszy publicznych (premia i grant termomodernizacyjny, grant OZE), dałyby możliwość szybszego i sprawniejszego skorzystania z kredytu oraz wsparcia rządowego wszystkim spółdzielniom bez względu na ich wielkość, czy potencjał. Istotnym jest, że z działań podjętych przez spółdzielnie będą korzystali mieszkańcy zasobów spółdzielczych, realizacja takich inwestycji powinna przyczynić się bowiem znacząco do obniżenia kosztów utrzymania nieruchomości. Tym samym, tego rodzaju inwestycje szybko się zwracają, a jednocześnie prowadzą do oszczędności dla członków spółdzielni, mieszkańców budynków wielorodzinnych, jak również do istotnych korzyści związanych ze zmniejszeniem emisji gazów cieplarnianych do atmosfery, a tym samym do przeciwdziałania bardzo groźnym dla ludzi zmianom. Dlatego proponuje się wprowadzenie </w:t>
      </w:r>
      <w:r w:rsidRPr="005C158A">
        <w:rPr>
          <w:rFonts w:ascii="Arial" w:hAnsi="Arial" w:cs="Arial"/>
          <w:b/>
          <w:bCs/>
          <w:sz w:val="20"/>
          <w:szCs w:val="20"/>
        </w:rPr>
        <w:t>art. 3 ust. 4</w:t>
      </w:r>
      <w:r w:rsidRPr="005C158A">
        <w:rPr>
          <w:rFonts w:ascii="Arial" w:hAnsi="Arial" w:cs="Arial"/>
          <w:sz w:val="20"/>
          <w:szCs w:val="20"/>
        </w:rPr>
        <w:t xml:space="preserve"> oraz</w:t>
      </w:r>
      <w:r w:rsidRPr="005C158A">
        <w:rPr>
          <w:rFonts w:ascii="Arial" w:hAnsi="Arial" w:cs="Arial"/>
          <w:b/>
          <w:bCs/>
          <w:sz w:val="20"/>
          <w:szCs w:val="20"/>
        </w:rPr>
        <w:t xml:space="preserve"> art. 11m ust. 7</w:t>
      </w:r>
      <w:r w:rsidRPr="005C158A">
        <w:rPr>
          <w:rFonts w:ascii="Arial" w:hAnsi="Arial" w:cs="Arial"/>
          <w:sz w:val="20"/>
          <w:szCs w:val="20"/>
        </w:rPr>
        <w:t xml:space="preserve"> ustawy</w:t>
      </w:r>
      <w:r w:rsidR="00CE7825" w:rsidRPr="005C158A">
        <w:rPr>
          <w:rFonts w:ascii="Arial" w:hAnsi="Arial" w:cs="Arial"/>
          <w:sz w:val="20"/>
          <w:szCs w:val="20"/>
        </w:rPr>
        <w:t xml:space="preserve"> z dnia 21 listopada 2008 r. o wspieraniu termomodernizacji i remontów oraz o centralnej ewidencji emisyjności budynków</w:t>
      </w:r>
      <w:r w:rsidRPr="005C158A">
        <w:rPr>
          <w:rFonts w:ascii="Arial" w:hAnsi="Arial" w:cs="Arial"/>
          <w:sz w:val="20"/>
          <w:szCs w:val="20"/>
        </w:rPr>
        <w:t xml:space="preserve">.  </w:t>
      </w:r>
    </w:p>
    <w:p w14:paraId="168C1AB4" w14:textId="77777777" w:rsidR="000610FB" w:rsidRPr="005C158A" w:rsidRDefault="000610FB" w:rsidP="000610FB">
      <w:pPr>
        <w:pStyle w:val="Nagwek2"/>
        <w:spacing w:before="120" w:after="120" w:line="360" w:lineRule="auto"/>
        <w:jc w:val="both"/>
        <w:rPr>
          <w:rFonts w:ascii="Arial" w:hAnsi="Arial" w:cs="Arial"/>
          <w:color w:val="auto"/>
          <w:sz w:val="20"/>
          <w:szCs w:val="20"/>
        </w:rPr>
      </w:pPr>
      <w:bookmarkStart w:id="77" w:name="_Toc138329777"/>
      <w:r w:rsidRPr="005C158A">
        <w:rPr>
          <w:rFonts w:ascii="Arial" w:hAnsi="Arial" w:cs="Arial"/>
          <w:color w:val="auto"/>
          <w:sz w:val="20"/>
          <w:szCs w:val="20"/>
        </w:rPr>
        <w:t>Ustawa 5 listopada 2009 r. o spółdzielczych kasach oszczędnościowo-kredytowych</w:t>
      </w:r>
      <w:bookmarkEnd w:id="77"/>
    </w:p>
    <w:p w14:paraId="17E9325A" w14:textId="77777777" w:rsidR="000610FB" w:rsidRPr="005C158A" w:rsidRDefault="000610FB" w:rsidP="000610FB">
      <w:pPr>
        <w:spacing w:line="360" w:lineRule="auto"/>
        <w:jc w:val="both"/>
        <w:rPr>
          <w:rFonts w:ascii="Arial" w:hAnsi="Arial" w:cs="Arial"/>
          <w:sz w:val="20"/>
          <w:szCs w:val="20"/>
        </w:rPr>
      </w:pPr>
      <w:r w:rsidRPr="005C158A">
        <w:rPr>
          <w:rFonts w:ascii="Arial" w:hAnsi="Arial" w:cs="Arial"/>
          <w:sz w:val="20"/>
          <w:szCs w:val="20"/>
        </w:rPr>
        <w:t>Propozycja nowelizacji jest analogiczna jak ta przewidziana w ustawie – Prawo bankowe. Podobnie jak w przypadku prowadzenia rachunku bankowego, jeżeli przedsiębiorca korzystał z rachunku w SKOK, również ten rachunek po śmierci przedsiębiorcy powinien być prowadzony na dotychczasowych zasadach. W praktyce będzie to oznaczać, że jeżeli przedsiębiorca korzystał przykładowo z rachunku w drodze elektronicznej, zarządca sukcesyjny może mieć do niego dostęp w takim samym zakresie.</w:t>
      </w:r>
    </w:p>
    <w:p w14:paraId="683D5AB2" w14:textId="77777777" w:rsidR="000610FB" w:rsidRPr="005C158A" w:rsidRDefault="000610FB" w:rsidP="000610FB">
      <w:pPr>
        <w:spacing w:line="360" w:lineRule="auto"/>
        <w:jc w:val="both"/>
        <w:rPr>
          <w:rFonts w:ascii="Arial" w:hAnsi="Arial" w:cs="Arial"/>
          <w:sz w:val="20"/>
          <w:szCs w:val="20"/>
        </w:rPr>
      </w:pPr>
      <w:r w:rsidRPr="005C158A">
        <w:rPr>
          <w:rFonts w:ascii="Arial" w:hAnsi="Arial" w:cs="Arial"/>
          <w:sz w:val="20"/>
          <w:szCs w:val="20"/>
        </w:rPr>
        <w:t>Ponadto proponuje się przyznać dostęp do tego rachunku również osobom wykonującym czynności zachowawcze w okresie, w którym po śmierci przedsiębiorcy nie został jeszcze powołany zarządca sukcesyjny. Pozwoli to spadkobiercom regulować bieżące zobowiązania związane z przedsiębiorstwem w spadku.</w:t>
      </w:r>
    </w:p>
    <w:p w14:paraId="14CD3AC1" w14:textId="77777777" w:rsidR="000610FB" w:rsidRPr="005C158A" w:rsidRDefault="000610FB" w:rsidP="000610FB">
      <w:pPr>
        <w:spacing w:line="360" w:lineRule="auto"/>
        <w:jc w:val="both"/>
        <w:rPr>
          <w:rFonts w:ascii="Arial" w:hAnsi="Arial" w:cs="Arial"/>
          <w:sz w:val="20"/>
          <w:szCs w:val="20"/>
        </w:rPr>
      </w:pPr>
      <w:r w:rsidRPr="005C158A">
        <w:rPr>
          <w:rFonts w:ascii="Arial" w:hAnsi="Arial" w:cs="Arial"/>
          <w:sz w:val="20"/>
          <w:szCs w:val="20"/>
        </w:rPr>
        <w:t>W tym przypadku konieczne będzie przedłożenie oświadczenia wskazującego, że dana osoba jest osobą uprawnioną do wykonywania czynności zachowawczych, a także dokumentu potwierdzającego przyjęcie spadku obejmującego przedsiębiorstwo w spadku.</w:t>
      </w:r>
    </w:p>
    <w:p w14:paraId="2B896F63" w14:textId="02BE0316" w:rsidR="00FA155D" w:rsidRPr="005C158A" w:rsidRDefault="00C30E1B" w:rsidP="00401710">
      <w:pPr>
        <w:pStyle w:val="Nagwek2"/>
        <w:spacing w:before="120" w:after="120" w:line="360" w:lineRule="auto"/>
        <w:jc w:val="both"/>
        <w:rPr>
          <w:rFonts w:ascii="Arial" w:hAnsi="Arial" w:cs="Arial"/>
          <w:color w:val="auto"/>
          <w:sz w:val="20"/>
          <w:szCs w:val="20"/>
        </w:rPr>
      </w:pPr>
      <w:bookmarkStart w:id="78" w:name="_Toc138329778"/>
      <w:r w:rsidRPr="005C158A">
        <w:rPr>
          <w:rFonts w:ascii="Arial" w:hAnsi="Arial" w:cs="Arial"/>
          <w:color w:val="auto"/>
          <w:sz w:val="20"/>
          <w:szCs w:val="20"/>
        </w:rPr>
        <w:lastRenderedPageBreak/>
        <w:t>Ustawa</w:t>
      </w:r>
      <w:r w:rsidR="00FA155D" w:rsidRPr="005C158A">
        <w:rPr>
          <w:rFonts w:ascii="Arial" w:hAnsi="Arial" w:cs="Arial"/>
          <w:color w:val="auto"/>
          <w:sz w:val="20"/>
          <w:szCs w:val="20"/>
        </w:rPr>
        <w:t xml:space="preserve"> z dnia 5 stycznia 2011 r. o kierujących pojazdami</w:t>
      </w:r>
      <w:bookmarkEnd w:id="78"/>
      <w:r w:rsidR="00FA155D" w:rsidRPr="005C158A">
        <w:rPr>
          <w:rFonts w:ascii="Arial" w:hAnsi="Arial" w:cs="Arial"/>
          <w:color w:val="auto"/>
          <w:sz w:val="20"/>
          <w:szCs w:val="20"/>
        </w:rPr>
        <w:t xml:space="preserve"> </w:t>
      </w:r>
    </w:p>
    <w:p w14:paraId="0488A79C" w14:textId="20E3D3DC" w:rsidR="00FA155D" w:rsidRPr="005C158A" w:rsidRDefault="00FA155D" w:rsidP="00401710">
      <w:pPr>
        <w:spacing w:after="0" w:line="360" w:lineRule="auto"/>
        <w:jc w:val="both"/>
        <w:rPr>
          <w:rFonts w:ascii="Arial" w:hAnsi="Arial" w:cs="Arial"/>
          <w:iCs/>
          <w:sz w:val="20"/>
          <w:szCs w:val="20"/>
        </w:rPr>
      </w:pPr>
      <w:r w:rsidRPr="005C158A">
        <w:rPr>
          <w:rFonts w:ascii="Arial" w:hAnsi="Arial" w:cs="Arial"/>
          <w:bCs/>
          <w:iCs/>
          <w:sz w:val="20"/>
          <w:szCs w:val="20"/>
        </w:rPr>
        <w:t>Zmiany w niniejszej ustawie dotyczą odstąpienia od zasady dwuinstancyjności. Pierwsza z nich dotyczy wydania przez starostę poświadczenia (potwierdzającego spełnienie dodatkowych wymagań w zakresie prawa jazdy kategorii A, B, C lub D) dla przedsiębiorcy</w:t>
      </w:r>
      <w:r w:rsidRPr="005C158A">
        <w:rPr>
          <w:rFonts w:ascii="Arial" w:hAnsi="Arial" w:cs="Arial"/>
          <w:iCs/>
          <w:sz w:val="20"/>
          <w:szCs w:val="20"/>
        </w:rPr>
        <w:t xml:space="preserve"> prowadzącego ośrodek szkolenia kierowców (</w:t>
      </w:r>
      <w:r w:rsidRPr="005C158A">
        <w:rPr>
          <w:rFonts w:ascii="Arial" w:hAnsi="Arial" w:cs="Arial"/>
          <w:b/>
          <w:bCs/>
          <w:iCs/>
          <w:sz w:val="20"/>
          <w:szCs w:val="20"/>
        </w:rPr>
        <w:t>art. 31 ust. 3</w:t>
      </w:r>
      <w:r w:rsidR="00606961" w:rsidRPr="005C158A">
        <w:rPr>
          <w:rFonts w:ascii="Arial" w:hAnsi="Arial" w:cs="Arial"/>
          <w:b/>
          <w:bCs/>
          <w:iCs/>
          <w:sz w:val="20"/>
          <w:szCs w:val="20"/>
        </w:rPr>
        <w:t xml:space="preserve"> </w:t>
      </w:r>
      <w:r w:rsidR="00606961" w:rsidRPr="005C158A">
        <w:rPr>
          <w:rFonts w:ascii="Arial" w:hAnsi="Arial" w:cs="Arial"/>
          <w:iCs/>
          <w:sz w:val="20"/>
          <w:szCs w:val="20"/>
        </w:rPr>
        <w:t>ustawy o kierujących pojazdami</w:t>
      </w:r>
      <w:r w:rsidRPr="005C158A">
        <w:rPr>
          <w:rFonts w:ascii="Arial" w:hAnsi="Arial" w:cs="Arial"/>
          <w:iCs/>
          <w:sz w:val="20"/>
          <w:szCs w:val="20"/>
        </w:rPr>
        <w:t xml:space="preserve">). Poświadczenia te są wydawane po spełnieniu przesłanek określonych w przepisach ustawy, które nie są </w:t>
      </w:r>
      <w:proofErr w:type="spellStart"/>
      <w:r w:rsidRPr="005C158A">
        <w:rPr>
          <w:rFonts w:ascii="Arial" w:hAnsi="Arial" w:cs="Arial"/>
          <w:iCs/>
          <w:sz w:val="20"/>
          <w:szCs w:val="20"/>
        </w:rPr>
        <w:t>ocenne</w:t>
      </w:r>
      <w:proofErr w:type="spellEnd"/>
      <w:r w:rsidRPr="005C158A">
        <w:rPr>
          <w:rFonts w:ascii="Arial" w:hAnsi="Arial" w:cs="Arial"/>
          <w:iCs/>
          <w:sz w:val="20"/>
          <w:szCs w:val="20"/>
        </w:rPr>
        <w:t xml:space="preserve"> z punktu widzenia organu. Wymagania są ściśle określone w przepisach ustawy, a więc organ nie może postąpić w odmienny sposób.</w:t>
      </w:r>
    </w:p>
    <w:p w14:paraId="5EA4BC00" w14:textId="59E862BF" w:rsidR="00FA155D" w:rsidRPr="005C158A" w:rsidRDefault="00FA155D" w:rsidP="00401710">
      <w:pPr>
        <w:spacing w:after="0" w:line="360" w:lineRule="auto"/>
        <w:jc w:val="both"/>
        <w:rPr>
          <w:rFonts w:ascii="Arial" w:hAnsi="Arial" w:cs="Arial"/>
          <w:iCs/>
          <w:sz w:val="20"/>
          <w:szCs w:val="20"/>
        </w:rPr>
      </w:pPr>
      <w:r w:rsidRPr="005C158A">
        <w:rPr>
          <w:rFonts w:ascii="Arial" w:hAnsi="Arial" w:cs="Arial"/>
          <w:iCs/>
          <w:sz w:val="20"/>
          <w:szCs w:val="20"/>
        </w:rPr>
        <w:t xml:space="preserve">Kolejna </w:t>
      </w:r>
      <w:r w:rsidR="00606961" w:rsidRPr="005C158A">
        <w:rPr>
          <w:rFonts w:ascii="Arial" w:hAnsi="Arial" w:cs="Arial"/>
          <w:iCs/>
          <w:sz w:val="20"/>
          <w:szCs w:val="20"/>
        </w:rPr>
        <w:t>zmiana projektowana jest w</w:t>
      </w:r>
      <w:r w:rsidRPr="005C158A">
        <w:rPr>
          <w:rFonts w:ascii="Arial" w:hAnsi="Arial" w:cs="Arial"/>
          <w:iCs/>
          <w:sz w:val="20"/>
          <w:szCs w:val="20"/>
        </w:rPr>
        <w:t xml:space="preserve"> </w:t>
      </w:r>
      <w:r w:rsidRPr="005C158A">
        <w:rPr>
          <w:rFonts w:ascii="Arial" w:hAnsi="Arial" w:cs="Arial"/>
          <w:b/>
          <w:bCs/>
          <w:iCs/>
          <w:sz w:val="20"/>
          <w:szCs w:val="20"/>
        </w:rPr>
        <w:t xml:space="preserve">art. 33 ust. 2 pkt 1 </w:t>
      </w:r>
      <w:r w:rsidRPr="005C158A">
        <w:rPr>
          <w:rFonts w:ascii="Arial" w:hAnsi="Arial" w:cs="Arial"/>
          <w:iCs/>
          <w:sz w:val="20"/>
          <w:szCs w:val="20"/>
        </w:rPr>
        <w:t>oraz</w:t>
      </w:r>
      <w:r w:rsidRPr="005C158A">
        <w:rPr>
          <w:rFonts w:ascii="Arial" w:hAnsi="Arial" w:cs="Arial"/>
          <w:b/>
          <w:bCs/>
          <w:iCs/>
          <w:sz w:val="20"/>
          <w:szCs w:val="20"/>
        </w:rPr>
        <w:t xml:space="preserve"> pkt 3</w:t>
      </w:r>
      <w:r w:rsidRPr="005C158A">
        <w:rPr>
          <w:rFonts w:ascii="Arial" w:hAnsi="Arial" w:cs="Arial"/>
          <w:iCs/>
          <w:sz w:val="20"/>
          <w:szCs w:val="20"/>
        </w:rPr>
        <w:t xml:space="preserve"> </w:t>
      </w:r>
      <w:r w:rsidR="00606961" w:rsidRPr="005C158A">
        <w:rPr>
          <w:rFonts w:ascii="Arial" w:hAnsi="Arial" w:cs="Arial"/>
          <w:iCs/>
          <w:sz w:val="20"/>
          <w:szCs w:val="20"/>
        </w:rPr>
        <w:t xml:space="preserve">ustawy o kierujących pojazdami </w:t>
      </w:r>
      <w:r w:rsidRPr="005C158A">
        <w:rPr>
          <w:rFonts w:ascii="Arial" w:hAnsi="Arial" w:cs="Arial"/>
          <w:iCs/>
          <w:sz w:val="20"/>
          <w:szCs w:val="20"/>
        </w:rPr>
        <w:t>i</w:t>
      </w:r>
      <w:r w:rsidR="00295358" w:rsidRPr="005C158A">
        <w:rPr>
          <w:rFonts w:ascii="Arial" w:hAnsi="Arial" w:cs="Arial"/>
          <w:iCs/>
          <w:sz w:val="20"/>
          <w:szCs w:val="20"/>
        </w:rPr>
        <w:t> </w:t>
      </w:r>
      <w:r w:rsidRPr="005C158A">
        <w:rPr>
          <w:rFonts w:ascii="Arial" w:hAnsi="Arial" w:cs="Arial"/>
          <w:iCs/>
          <w:sz w:val="20"/>
          <w:szCs w:val="20"/>
        </w:rPr>
        <w:t xml:space="preserve">dotyczy odpowiednio wpisu do ewidencji instruktorów jazdy oraz odmowy takiego wpisu. Zarówno pierwszy, jak i drugi jest dokonywany po spełnieniu przesłanek określonych w przepisach ustawy, które również nie są </w:t>
      </w:r>
      <w:proofErr w:type="spellStart"/>
      <w:r w:rsidRPr="005C158A">
        <w:rPr>
          <w:rFonts w:ascii="Arial" w:hAnsi="Arial" w:cs="Arial"/>
          <w:iCs/>
          <w:sz w:val="20"/>
          <w:szCs w:val="20"/>
        </w:rPr>
        <w:t>ocenne</w:t>
      </w:r>
      <w:proofErr w:type="spellEnd"/>
      <w:r w:rsidRPr="005C158A">
        <w:rPr>
          <w:rFonts w:ascii="Arial" w:hAnsi="Arial" w:cs="Arial"/>
          <w:iCs/>
          <w:sz w:val="20"/>
          <w:szCs w:val="20"/>
        </w:rPr>
        <w:t xml:space="preserve"> z punktu widzenia organu. Jeżeli osoba spełnia wymagania, wówczas jest wpisywana do ewidencji, jeżeli ich nie spełnia, to nie zostanie wpisana. </w:t>
      </w:r>
    </w:p>
    <w:p w14:paraId="0AD807C5" w14:textId="1F99FFE9" w:rsidR="00FA155D" w:rsidRPr="005C158A" w:rsidRDefault="00FA155D" w:rsidP="00401710">
      <w:pPr>
        <w:spacing w:after="0" w:line="360" w:lineRule="auto"/>
        <w:jc w:val="both"/>
        <w:rPr>
          <w:rFonts w:ascii="Arial" w:hAnsi="Arial" w:cs="Arial"/>
          <w:iCs/>
          <w:sz w:val="20"/>
          <w:szCs w:val="20"/>
        </w:rPr>
      </w:pPr>
      <w:r w:rsidRPr="005C158A">
        <w:rPr>
          <w:rFonts w:ascii="Arial" w:hAnsi="Arial" w:cs="Arial"/>
          <w:iCs/>
          <w:sz w:val="20"/>
          <w:szCs w:val="20"/>
        </w:rPr>
        <w:t xml:space="preserve">Kolejna propozycja zmiany dotyczy </w:t>
      </w:r>
      <w:r w:rsidRPr="005C158A">
        <w:rPr>
          <w:rFonts w:ascii="Arial" w:hAnsi="Arial" w:cs="Arial"/>
          <w:b/>
          <w:bCs/>
          <w:iCs/>
          <w:sz w:val="20"/>
          <w:szCs w:val="20"/>
        </w:rPr>
        <w:t>art. 38 ust. 2 pkt 4</w:t>
      </w:r>
      <w:r w:rsidRPr="005C158A">
        <w:rPr>
          <w:rFonts w:ascii="Arial" w:hAnsi="Arial" w:cs="Arial"/>
          <w:iCs/>
          <w:sz w:val="20"/>
          <w:szCs w:val="20"/>
        </w:rPr>
        <w:t xml:space="preserve"> (</w:t>
      </w:r>
      <w:r w:rsidR="00A47C1E" w:rsidRPr="005C158A">
        <w:rPr>
          <w:rFonts w:ascii="Arial" w:hAnsi="Arial" w:cs="Arial"/>
          <w:sz w:val="20"/>
          <w:szCs w:val="20"/>
        </w:rPr>
        <w:t xml:space="preserve">proponuje się, aby odwołanie nie przysługiwało w przypadku decyzji administracyjnej o wpisie do ewidencji i </w:t>
      </w:r>
      <w:r w:rsidRPr="005C158A">
        <w:rPr>
          <w:rFonts w:ascii="Arial" w:hAnsi="Arial" w:cs="Arial"/>
          <w:iCs/>
          <w:sz w:val="20"/>
          <w:szCs w:val="20"/>
        </w:rPr>
        <w:t>odmow</w:t>
      </w:r>
      <w:r w:rsidR="00A47C1E" w:rsidRPr="005C158A">
        <w:rPr>
          <w:rFonts w:ascii="Arial" w:hAnsi="Arial" w:cs="Arial"/>
          <w:iCs/>
          <w:sz w:val="20"/>
          <w:szCs w:val="20"/>
        </w:rPr>
        <w:t>y</w:t>
      </w:r>
      <w:r w:rsidRPr="005C158A">
        <w:rPr>
          <w:rFonts w:ascii="Arial" w:hAnsi="Arial" w:cs="Arial"/>
          <w:iCs/>
          <w:sz w:val="20"/>
          <w:szCs w:val="20"/>
        </w:rPr>
        <w:t xml:space="preserve"> wpisu do ewidencji wykładowców) oraz </w:t>
      </w:r>
      <w:r w:rsidRPr="005C158A">
        <w:rPr>
          <w:rFonts w:ascii="Arial" w:hAnsi="Arial" w:cs="Arial"/>
          <w:b/>
          <w:bCs/>
          <w:iCs/>
          <w:sz w:val="20"/>
          <w:szCs w:val="20"/>
        </w:rPr>
        <w:t xml:space="preserve">art. 58 ust. 2 pkt 1 </w:t>
      </w:r>
      <w:r w:rsidRPr="005C158A">
        <w:rPr>
          <w:rFonts w:ascii="Arial" w:hAnsi="Arial" w:cs="Arial"/>
          <w:iCs/>
          <w:sz w:val="20"/>
          <w:szCs w:val="20"/>
        </w:rPr>
        <w:t xml:space="preserve">i </w:t>
      </w:r>
      <w:r w:rsidRPr="005C158A">
        <w:rPr>
          <w:rFonts w:ascii="Arial" w:hAnsi="Arial" w:cs="Arial"/>
          <w:b/>
          <w:bCs/>
          <w:iCs/>
          <w:sz w:val="20"/>
          <w:szCs w:val="20"/>
        </w:rPr>
        <w:t>3</w:t>
      </w:r>
      <w:r w:rsidRPr="005C158A">
        <w:rPr>
          <w:rFonts w:ascii="Arial" w:hAnsi="Arial" w:cs="Arial"/>
          <w:iCs/>
          <w:sz w:val="20"/>
          <w:szCs w:val="20"/>
        </w:rPr>
        <w:t xml:space="preserve"> </w:t>
      </w:r>
      <w:r w:rsidR="00606961" w:rsidRPr="005C158A">
        <w:rPr>
          <w:rFonts w:ascii="Arial" w:hAnsi="Arial" w:cs="Arial"/>
          <w:iCs/>
          <w:sz w:val="20"/>
          <w:szCs w:val="20"/>
        </w:rPr>
        <w:t xml:space="preserve">ww. ustawy </w:t>
      </w:r>
      <w:r w:rsidRPr="005C158A">
        <w:rPr>
          <w:rFonts w:ascii="Arial" w:hAnsi="Arial" w:cs="Arial"/>
          <w:iCs/>
          <w:sz w:val="20"/>
          <w:szCs w:val="20"/>
        </w:rPr>
        <w:t xml:space="preserve">(wpis do ewidencji egzaminatorów). Wpisy te również uwarunkowane są od spełnienia określonych przesłanek. </w:t>
      </w:r>
    </w:p>
    <w:p w14:paraId="78C8DE79" w14:textId="7F542146" w:rsidR="00FA155D" w:rsidRPr="005C158A" w:rsidRDefault="00FA155D" w:rsidP="00401710">
      <w:pPr>
        <w:pStyle w:val="ZPKTzmpktartykuempunktem"/>
        <w:ind w:left="0" w:firstLine="0"/>
        <w:rPr>
          <w:rFonts w:ascii="Arial" w:hAnsi="Arial"/>
          <w:iCs/>
          <w:sz w:val="20"/>
        </w:rPr>
      </w:pPr>
      <w:r w:rsidRPr="005C158A">
        <w:rPr>
          <w:rFonts w:ascii="Arial" w:hAnsi="Arial"/>
          <w:iCs/>
          <w:sz w:val="20"/>
        </w:rPr>
        <w:t xml:space="preserve">Art. </w:t>
      </w:r>
      <w:r w:rsidRPr="005C158A">
        <w:rPr>
          <w:rFonts w:ascii="Arial" w:hAnsi="Arial"/>
          <w:b/>
          <w:bCs w:val="0"/>
          <w:iCs/>
          <w:sz w:val="20"/>
        </w:rPr>
        <w:t xml:space="preserve">109 ust. 1, 3 </w:t>
      </w:r>
      <w:r w:rsidRPr="005C158A">
        <w:rPr>
          <w:rFonts w:ascii="Arial" w:hAnsi="Arial"/>
          <w:iCs/>
          <w:sz w:val="20"/>
        </w:rPr>
        <w:t>oraz</w:t>
      </w:r>
      <w:r w:rsidRPr="005C158A">
        <w:rPr>
          <w:rFonts w:ascii="Arial" w:hAnsi="Arial"/>
          <w:b/>
          <w:bCs w:val="0"/>
          <w:iCs/>
          <w:sz w:val="20"/>
        </w:rPr>
        <w:t xml:space="preserve"> 4</w:t>
      </w:r>
      <w:r w:rsidRPr="005C158A">
        <w:rPr>
          <w:rFonts w:ascii="Arial" w:hAnsi="Arial"/>
          <w:iCs/>
          <w:sz w:val="20"/>
        </w:rPr>
        <w:t xml:space="preserve"> </w:t>
      </w:r>
      <w:r w:rsidR="00606961" w:rsidRPr="005C158A">
        <w:rPr>
          <w:rFonts w:ascii="Arial" w:hAnsi="Arial"/>
          <w:iCs/>
          <w:sz w:val="20"/>
        </w:rPr>
        <w:t xml:space="preserve">ustawy o kierujących pojazdami </w:t>
      </w:r>
      <w:r w:rsidRPr="005C158A">
        <w:rPr>
          <w:rFonts w:ascii="Arial" w:hAnsi="Arial"/>
          <w:iCs/>
          <w:sz w:val="20"/>
        </w:rPr>
        <w:t xml:space="preserve">regulują odpowiednio wydanie, przedłużenie oraz rozszerzenie zezwolenia na kierowanie pojazdem uprzywilejowanym. Decyzje te są wydawane na podstawie konkretnych dokumentów, których nieprzedstawienie stanowi podstawę do wydania decyzji odmownej. </w:t>
      </w:r>
    </w:p>
    <w:p w14:paraId="0E35DC46" w14:textId="1C1FF4E0" w:rsidR="00D44B33" w:rsidRPr="005C158A" w:rsidRDefault="00FA155D" w:rsidP="00401710">
      <w:pPr>
        <w:pStyle w:val="ZPKTzmpktartykuempunktem"/>
        <w:ind w:left="0" w:firstLine="0"/>
        <w:rPr>
          <w:rFonts w:ascii="Arial" w:eastAsiaTheme="minorHAnsi" w:hAnsi="Arial"/>
          <w:bCs w:val="0"/>
          <w:sz w:val="20"/>
          <w:lang w:eastAsia="en-US"/>
        </w:rPr>
      </w:pPr>
      <w:r w:rsidRPr="005C158A">
        <w:rPr>
          <w:rFonts w:ascii="Arial" w:hAnsi="Arial"/>
          <w:iCs/>
          <w:sz w:val="20"/>
        </w:rPr>
        <w:t xml:space="preserve">Podobnie jest w przypadku </w:t>
      </w:r>
      <w:r w:rsidRPr="005C158A">
        <w:rPr>
          <w:rFonts w:ascii="Arial" w:hAnsi="Arial"/>
          <w:b/>
          <w:bCs w:val="0"/>
          <w:iCs/>
          <w:sz w:val="20"/>
        </w:rPr>
        <w:t>art. 110</w:t>
      </w:r>
      <w:r w:rsidRPr="005C158A">
        <w:rPr>
          <w:rFonts w:ascii="Arial" w:hAnsi="Arial"/>
          <w:iCs/>
          <w:sz w:val="20"/>
        </w:rPr>
        <w:t xml:space="preserve"> oraz </w:t>
      </w:r>
      <w:r w:rsidRPr="005C158A">
        <w:rPr>
          <w:rFonts w:ascii="Arial" w:hAnsi="Arial"/>
          <w:b/>
          <w:bCs w:val="0"/>
          <w:iCs/>
          <w:sz w:val="20"/>
        </w:rPr>
        <w:t>117 ust. 3 pkt 1 i 4</w:t>
      </w:r>
      <w:r w:rsidR="00606961" w:rsidRPr="005C158A">
        <w:rPr>
          <w:rFonts w:ascii="Arial" w:hAnsi="Arial"/>
          <w:b/>
          <w:bCs w:val="0"/>
          <w:iCs/>
          <w:sz w:val="20"/>
        </w:rPr>
        <w:t xml:space="preserve"> </w:t>
      </w:r>
      <w:r w:rsidR="00606961" w:rsidRPr="005C158A">
        <w:rPr>
          <w:rFonts w:ascii="Arial" w:hAnsi="Arial"/>
          <w:iCs/>
          <w:sz w:val="20"/>
        </w:rPr>
        <w:t>tej ustawy</w:t>
      </w:r>
      <w:r w:rsidRPr="005C158A">
        <w:rPr>
          <w:rFonts w:ascii="Arial" w:hAnsi="Arial"/>
          <w:iCs/>
          <w:sz w:val="20"/>
        </w:rPr>
        <w:t xml:space="preserve">. Pierwszy z nich dotyczy wydania zezwolenia na kierowanie pojazdem przewożącym wartości pieniężne, natomiast drugi wpisu do </w:t>
      </w:r>
      <w:r w:rsidRPr="005C158A">
        <w:rPr>
          <w:rFonts w:ascii="Arial" w:eastAsiaTheme="minorHAnsi" w:hAnsi="Arial"/>
          <w:bCs w:val="0"/>
          <w:sz w:val="20"/>
          <w:lang w:eastAsia="en-US"/>
        </w:rPr>
        <w:t xml:space="preserve">ewidencji instruktorów techniki jazdy oraz odmowy wpisu do ewidencji instruktorów techniki jazdy. Decyzje te także wydawane są na podstawie konkretnych dokumentów. </w:t>
      </w:r>
    </w:p>
    <w:p w14:paraId="43501650" w14:textId="1C9717C5" w:rsidR="00D44B33" w:rsidRPr="005C158A" w:rsidRDefault="00C30E1B" w:rsidP="00401710">
      <w:pPr>
        <w:pStyle w:val="Nagwek2"/>
        <w:spacing w:before="120" w:after="120" w:line="360" w:lineRule="auto"/>
        <w:jc w:val="both"/>
        <w:rPr>
          <w:rFonts w:ascii="Arial" w:hAnsi="Arial" w:cs="Arial"/>
          <w:color w:val="auto"/>
          <w:sz w:val="20"/>
          <w:szCs w:val="20"/>
        </w:rPr>
      </w:pPr>
      <w:bookmarkStart w:id="79" w:name="_Toc138329779"/>
      <w:r w:rsidRPr="005C158A">
        <w:rPr>
          <w:rFonts w:ascii="Arial" w:hAnsi="Arial" w:cs="Arial"/>
          <w:color w:val="auto"/>
          <w:sz w:val="20"/>
          <w:szCs w:val="20"/>
        </w:rPr>
        <w:t>Ustawa</w:t>
      </w:r>
      <w:r w:rsidR="00D44B33" w:rsidRPr="005C158A">
        <w:rPr>
          <w:rFonts w:ascii="Arial" w:hAnsi="Arial" w:cs="Arial"/>
          <w:color w:val="auto"/>
          <w:sz w:val="20"/>
          <w:szCs w:val="20"/>
        </w:rPr>
        <w:t xml:space="preserve"> z dnia 25 lutego 2011 r. </w:t>
      </w:r>
      <w:bookmarkStart w:id="80" w:name="_Hlk118905776"/>
      <w:r w:rsidR="00D44B33" w:rsidRPr="005C158A">
        <w:rPr>
          <w:rFonts w:ascii="Arial" w:hAnsi="Arial" w:cs="Arial"/>
          <w:color w:val="auto"/>
          <w:sz w:val="20"/>
          <w:szCs w:val="20"/>
        </w:rPr>
        <w:t>o substancjach chemicznych i ich mieszaninach</w:t>
      </w:r>
      <w:bookmarkEnd w:id="79"/>
      <w:bookmarkEnd w:id="80"/>
      <w:r w:rsidR="00D44B33" w:rsidRPr="005C158A">
        <w:rPr>
          <w:rFonts w:ascii="Arial" w:hAnsi="Arial" w:cs="Arial"/>
          <w:color w:val="auto"/>
          <w:sz w:val="20"/>
          <w:szCs w:val="20"/>
        </w:rPr>
        <w:t xml:space="preserve"> </w:t>
      </w:r>
    </w:p>
    <w:p w14:paraId="7274CD55" w14:textId="02DC8CB4" w:rsidR="00D44B33" w:rsidRPr="005C158A" w:rsidRDefault="00134C99" w:rsidP="00401710">
      <w:pPr>
        <w:pStyle w:val="ZPKTzmpktartykuempunktem"/>
        <w:ind w:left="0" w:firstLine="0"/>
        <w:rPr>
          <w:rFonts w:ascii="Arial" w:eastAsiaTheme="minorHAnsi" w:hAnsi="Arial"/>
          <w:bCs w:val="0"/>
          <w:sz w:val="20"/>
          <w:lang w:eastAsia="en-US"/>
        </w:rPr>
      </w:pPr>
      <w:r w:rsidRPr="005C158A">
        <w:rPr>
          <w:rFonts w:ascii="Arial" w:hAnsi="Arial"/>
          <w:iCs/>
          <w:sz w:val="20"/>
        </w:rPr>
        <w:t>Zmian</w:t>
      </w:r>
      <w:r w:rsidRPr="005C158A">
        <w:rPr>
          <w:rFonts w:ascii="Arial" w:hAnsi="Arial"/>
          <w:bCs w:val="0"/>
          <w:iCs/>
          <w:sz w:val="20"/>
        </w:rPr>
        <w:t>y</w:t>
      </w:r>
      <w:r w:rsidRPr="005C158A">
        <w:rPr>
          <w:rFonts w:ascii="Arial" w:hAnsi="Arial"/>
          <w:iCs/>
          <w:sz w:val="20"/>
        </w:rPr>
        <w:t xml:space="preserve"> w niniejszej ustawie dotycz</w:t>
      </w:r>
      <w:r w:rsidRPr="005C158A">
        <w:rPr>
          <w:rFonts w:ascii="Arial" w:hAnsi="Arial"/>
          <w:bCs w:val="0"/>
          <w:iCs/>
          <w:sz w:val="20"/>
        </w:rPr>
        <w:t>ą</w:t>
      </w:r>
      <w:r w:rsidRPr="005C158A">
        <w:rPr>
          <w:rFonts w:ascii="Arial" w:hAnsi="Arial"/>
          <w:iCs/>
          <w:sz w:val="20"/>
        </w:rPr>
        <w:t xml:space="preserve"> odstąpienia od zasady dwuinstancyjności. </w:t>
      </w:r>
    </w:p>
    <w:p w14:paraId="076A66C8" w14:textId="487831C4" w:rsidR="002E1358" w:rsidRPr="005C158A" w:rsidRDefault="00D44B33" w:rsidP="00401710">
      <w:pPr>
        <w:pStyle w:val="ZPKTzmpktartykuempunktem"/>
        <w:ind w:left="0" w:firstLine="0"/>
        <w:rPr>
          <w:rFonts w:ascii="Arial" w:eastAsiaTheme="minorHAnsi" w:hAnsi="Arial"/>
          <w:bCs w:val="0"/>
          <w:sz w:val="20"/>
          <w:lang w:eastAsia="en-US"/>
        </w:rPr>
      </w:pPr>
      <w:r w:rsidRPr="005C158A">
        <w:rPr>
          <w:rFonts w:ascii="Arial" w:eastAsiaTheme="minorHAnsi" w:hAnsi="Arial"/>
          <w:bCs w:val="0"/>
          <w:sz w:val="20"/>
          <w:lang w:eastAsia="en-US"/>
        </w:rPr>
        <w:t xml:space="preserve">Zgodnie z art. 27 </w:t>
      </w:r>
      <w:r w:rsidR="00606961" w:rsidRPr="005C158A">
        <w:rPr>
          <w:rFonts w:ascii="Arial" w:eastAsiaTheme="minorHAnsi" w:hAnsi="Arial"/>
          <w:bCs w:val="0"/>
          <w:sz w:val="20"/>
          <w:lang w:eastAsia="en-US"/>
        </w:rPr>
        <w:t>tej ustawy</w:t>
      </w:r>
      <w:r w:rsidR="00351FD3" w:rsidRPr="005C158A">
        <w:rPr>
          <w:rFonts w:ascii="Arial" w:eastAsiaTheme="minorHAnsi" w:hAnsi="Arial"/>
          <w:bCs w:val="0"/>
          <w:sz w:val="20"/>
          <w:lang w:eastAsia="en-US"/>
        </w:rPr>
        <w:t xml:space="preserve"> </w:t>
      </w:r>
      <w:r w:rsidR="00351FD3" w:rsidRPr="005C158A">
        <w:rPr>
          <w:rFonts w:ascii="Arial" w:hAnsi="Arial"/>
          <w:sz w:val="20"/>
        </w:rPr>
        <w:t xml:space="preserve">w przypadku, gdy Prezes Biura </w:t>
      </w:r>
      <w:r w:rsidR="00D23BA0" w:rsidRPr="005C158A">
        <w:rPr>
          <w:rFonts w:ascii="Arial" w:hAnsi="Arial"/>
          <w:sz w:val="20"/>
        </w:rPr>
        <w:t xml:space="preserve">do spraw Substancji Chemicznych </w:t>
      </w:r>
      <w:r w:rsidR="00351FD3" w:rsidRPr="005C158A">
        <w:rPr>
          <w:rFonts w:ascii="Arial" w:hAnsi="Arial"/>
          <w:sz w:val="20"/>
        </w:rPr>
        <w:t>stwierdzi lub ma uzasadnione powody do stwierdzenia</w:t>
      </w:r>
      <w:r w:rsidRPr="005C158A">
        <w:rPr>
          <w:rFonts w:ascii="Arial" w:eastAsiaTheme="minorHAnsi" w:hAnsi="Arial"/>
          <w:bCs w:val="0"/>
          <w:sz w:val="20"/>
          <w:lang w:eastAsia="en-US"/>
        </w:rPr>
        <w:t xml:space="preserve">, że </w:t>
      </w:r>
      <w:r w:rsidR="00351FD3" w:rsidRPr="005C158A">
        <w:rPr>
          <w:rFonts w:ascii="Arial" w:hAnsi="Arial"/>
          <w:sz w:val="20"/>
        </w:rPr>
        <w:t>substancja w jej postaci własnej jako składnik</w:t>
      </w:r>
      <w:r w:rsidR="00351FD3" w:rsidRPr="005C158A">
        <w:rPr>
          <w:rFonts w:ascii="Arial" w:eastAsiaTheme="minorHAnsi" w:hAnsi="Arial"/>
          <w:bCs w:val="0"/>
          <w:sz w:val="20"/>
          <w:lang w:eastAsia="en-US"/>
        </w:rPr>
        <w:t xml:space="preserve"> </w:t>
      </w:r>
      <w:r w:rsidRPr="005C158A">
        <w:rPr>
          <w:rFonts w:ascii="Arial" w:eastAsiaTheme="minorHAnsi" w:hAnsi="Arial"/>
          <w:bCs w:val="0"/>
          <w:sz w:val="20"/>
          <w:lang w:eastAsia="en-US"/>
        </w:rPr>
        <w:t>mieszanin</w:t>
      </w:r>
      <w:r w:rsidR="00351FD3" w:rsidRPr="005C158A">
        <w:rPr>
          <w:rFonts w:ascii="Arial" w:eastAsiaTheme="minorHAnsi" w:hAnsi="Arial"/>
          <w:bCs w:val="0"/>
          <w:sz w:val="20"/>
          <w:lang w:eastAsia="en-US"/>
        </w:rPr>
        <w:t>y</w:t>
      </w:r>
      <w:r w:rsidRPr="005C158A">
        <w:rPr>
          <w:rFonts w:ascii="Arial" w:eastAsiaTheme="minorHAnsi" w:hAnsi="Arial"/>
          <w:bCs w:val="0"/>
          <w:sz w:val="20"/>
          <w:lang w:eastAsia="en-US"/>
        </w:rPr>
        <w:t xml:space="preserve"> </w:t>
      </w:r>
      <w:r w:rsidR="00351FD3" w:rsidRPr="005C158A">
        <w:rPr>
          <w:rFonts w:ascii="Arial" w:hAnsi="Arial"/>
          <w:sz w:val="20"/>
        </w:rPr>
        <w:t>lub w wyrobie może stanowić</w:t>
      </w:r>
      <w:r w:rsidR="00351FD3" w:rsidRPr="005C158A">
        <w:rPr>
          <w:rFonts w:ascii="Arial" w:eastAsiaTheme="minorHAnsi" w:hAnsi="Arial"/>
          <w:bCs w:val="0"/>
          <w:sz w:val="20"/>
          <w:lang w:eastAsia="en-US"/>
        </w:rPr>
        <w:t xml:space="preserve"> poważne</w:t>
      </w:r>
      <w:r w:rsidRPr="005C158A">
        <w:rPr>
          <w:rFonts w:ascii="Arial" w:eastAsiaTheme="minorHAnsi" w:hAnsi="Arial"/>
          <w:bCs w:val="0"/>
          <w:sz w:val="20"/>
          <w:lang w:eastAsia="en-US"/>
        </w:rPr>
        <w:t xml:space="preserve"> zagrożenie dla zdrowia </w:t>
      </w:r>
      <w:r w:rsidR="00351FD3" w:rsidRPr="005C158A">
        <w:rPr>
          <w:rFonts w:ascii="Arial" w:eastAsiaTheme="minorHAnsi" w:hAnsi="Arial"/>
          <w:bCs w:val="0"/>
          <w:sz w:val="20"/>
          <w:lang w:eastAsia="en-US"/>
        </w:rPr>
        <w:t>ludzkiego</w:t>
      </w:r>
      <w:r w:rsidRPr="005C158A">
        <w:rPr>
          <w:rFonts w:ascii="Arial" w:eastAsiaTheme="minorHAnsi" w:hAnsi="Arial"/>
          <w:bCs w:val="0"/>
          <w:sz w:val="20"/>
          <w:lang w:eastAsia="en-US"/>
        </w:rPr>
        <w:t xml:space="preserve"> lub środowiska, </w:t>
      </w:r>
      <w:r w:rsidR="002A6123" w:rsidRPr="005C158A">
        <w:rPr>
          <w:rFonts w:ascii="Arial" w:eastAsiaTheme="minorHAnsi" w:hAnsi="Arial"/>
          <w:bCs w:val="0"/>
          <w:sz w:val="20"/>
          <w:lang w:eastAsia="en-US"/>
        </w:rPr>
        <w:t xml:space="preserve"> </w:t>
      </w:r>
      <w:r w:rsidR="002A6123" w:rsidRPr="005C158A">
        <w:rPr>
          <w:rFonts w:ascii="Arial" w:hAnsi="Arial"/>
          <w:sz w:val="20"/>
        </w:rPr>
        <w:t xml:space="preserve"> wstrzymuje jej produkcję, wprowadzanie do obrotu lub stosowanie bądź nakazuje wycofanie z obrotu na czas niezbędny do dokonania oceny przez Komisję Europejską. Decyzja ta może być również wydana na wniosek Głównego Inspektora Sanitarnego lub Głównego Inspektor Ochrony Środowiska. </w:t>
      </w:r>
      <w:r w:rsidRPr="005C158A">
        <w:rPr>
          <w:rFonts w:ascii="Arial" w:eastAsiaTheme="minorHAnsi" w:hAnsi="Arial"/>
          <w:bCs w:val="0"/>
          <w:sz w:val="20"/>
          <w:lang w:eastAsia="en-US"/>
        </w:rPr>
        <w:t>Ustanowiona procedura stanowi środek tymczasowy, który służy ochronie życia i zdrowia lub środowiska w sytuacjach nagłych wymagających szybkiego działania. Proponuje się odstąpienie od zasady dwuinstancyjności postępowania z uwagi na charakter tego środka i niecelowość jego zastosowania w szczególnych przypadkach służących ochronie dóbr najwyższych – podobnie w</w:t>
      </w:r>
      <w:r w:rsidR="00295358" w:rsidRPr="005C158A">
        <w:rPr>
          <w:rFonts w:ascii="Arial" w:eastAsiaTheme="minorHAnsi" w:hAnsi="Arial"/>
          <w:bCs w:val="0"/>
          <w:sz w:val="20"/>
          <w:lang w:eastAsia="en-US"/>
        </w:rPr>
        <w:t> </w:t>
      </w:r>
      <w:r w:rsidRPr="005C158A">
        <w:rPr>
          <w:rFonts w:ascii="Arial" w:eastAsiaTheme="minorHAnsi" w:hAnsi="Arial"/>
          <w:bCs w:val="0"/>
          <w:sz w:val="20"/>
          <w:lang w:eastAsia="en-US"/>
        </w:rPr>
        <w:t>przypadku art. 27a i art. 28</w:t>
      </w:r>
      <w:r w:rsidR="00606961" w:rsidRPr="005C158A">
        <w:rPr>
          <w:rFonts w:ascii="Arial" w:eastAsiaTheme="minorHAnsi" w:hAnsi="Arial"/>
          <w:bCs w:val="0"/>
          <w:sz w:val="20"/>
          <w:lang w:eastAsia="en-US"/>
        </w:rPr>
        <w:t xml:space="preserve"> ustawy </w:t>
      </w:r>
      <w:r w:rsidR="00606961" w:rsidRPr="005C158A">
        <w:rPr>
          <w:rFonts w:ascii="Arial" w:hAnsi="Arial"/>
          <w:sz w:val="20"/>
        </w:rPr>
        <w:t>o substancjach chemicznych i ich mieszaninach</w:t>
      </w:r>
      <w:r w:rsidRPr="005C158A">
        <w:rPr>
          <w:rFonts w:ascii="Arial" w:eastAsiaTheme="minorHAnsi" w:hAnsi="Arial"/>
          <w:bCs w:val="0"/>
          <w:sz w:val="20"/>
          <w:lang w:eastAsia="en-US"/>
        </w:rPr>
        <w:t>.</w:t>
      </w:r>
    </w:p>
    <w:p w14:paraId="7D552889" w14:textId="77777777" w:rsidR="002A6123" w:rsidRPr="005C158A" w:rsidRDefault="002A6123" w:rsidP="00401710">
      <w:pPr>
        <w:spacing w:line="360" w:lineRule="auto"/>
        <w:jc w:val="both"/>
        <w:rPr>
          <w:rFonts w:ascii="Arial" w:hAnsi="Arial" w:cs="Arial"/>
          <w:sz w:val="20"/>
          <w:szCs w:val="20"/>
        </w:rPr>
      </w:pPr>
      <w:r w:rsidRPr="005C158A">
        <w:rPr>
          <w:rFonts w:ascii="Arial" w:hAnsi="Arial" w:cs="Arial"/>
          <w:sz w:val="20"/>
          <w:szCs w:val="20"/>
        </w:rPr>
        <w:lastRenderedPageBreak/>
        <w:t xml:space="preserve">Należy wskazać, że decyzja Inspektora ds. Substancji Chemicznych jest wydawana odpowiednio na wniosek państwowego powiatowego inspektora sanitarnego składany za pośrednictwem Głównego Inspektora Sanitarnego lub na wniosek Głównego Inspektora Ochrony Środowiska albo po uzyskaniu opinii Głównego Inspektora Sanitarnego i opinii Głównego Inspektora Ochrony Środowiska, co podkreśla wagę tego rozstrzygnięcia, a także wprowadza pewną procedurę współpracy z właściwymi kompetencyjnie organami. </w:t>
      </w:r>
    </w:p>
    <w:p w14:paraId="4700F90B" w14:textId="461A12C8" w:rsidR="002A6123" w:rsidRPr="005C158A" w:rsidRDefault="002A6123" w:rsidP="00401710">
      <w:pPr>
        <w:spacing w:line="360" w:lineRule="auto"/>
        <w:jc w:val="both"/>
        <w:rPr>
          <w:rFonts w:ascii="Arial" w:hAnsi="Arial" w:cs="Arial"/>
          <w:sz w:val="20"/>
          <w:szCs w:val="20"/>
        </w:rPr>
      </w:pPr>
      <w:r w:rsidRPr="005C158A">
        <w:rPr>
          <w:rFonts w:ascii="Arial" w:hAnsi="Arial" w:cs="Arial"/>
          <w:sz w:val="20"/>
          <w:szCs w:val="20"/>
        </w:rPr>
        <w:t xml:space="preserve">Organ może wydać decyzję na czas określony, nie dłuższy niż 6 miesięcy. Może także zakazać wprowadzenia danego detergentu do obrotu lub określić warunki, które należy spełnić podczas jego wprowadzenia (spełniając jednocześnie wymagania, o których mowa w </w:t>
      </w:r>
      <w:r w:rsidR="00D23BA0" w:rsidRPr="005C158A">
        <w:rPr>
          <w:rFonts w:ascii="Arial" w:hAnsi="Arial" w:cs="Arial"/>
          <w:sz w:val="20"/>
          <w:szCs w:val="20"/>
        </w:rPr>
        <w:t>art. 15 ust. 1</w:t>
      </w:r>
      <w:r w:rsidRPr="005C158A">
        <w:rPr>
          <w:rFonts w:ascii="Arial" w:hAnsi="Arial" w:cs="Arial"/>
          <w:sz w:val="20"/>
          <w:szCs w:val="20"/>
        </w:rPr>
        <w:t xml:space="preserve"> rozporządzenia nr </w:t>
      </w:r>
      <w:hyperlink r:id="rId12" w:history="1">
        <w:r w:rsidRPr="005C158A">
          <w:rPr>
            <w:rStyle w:val="Hipercze"/>
            <w:rFonts w:ascii="Arial" w:hAnsi="Arial" w:cs="Arial"/>
            <w:color w:val="auto"/>
            <w:sz w:val="20"/>
            <w:szCs w:val="20"/>
          </w:rPr>
          <w:t>648/2004</w:t>
        </w:r>
      </w:hyperlink>
      <w:r w:rsidRPr="005C158A">
        <w:rPr>
          <w:rFonts w:ascii="Arial" w:hAnsi="Arial" w:cs="Arial"/>
          <w:sz w:val="20"/>
          <w:szCs w:val="20"/>
        </w:rPr>
        <w:t xml:space="preserve">). </w:t>
      </w:r>
      <w:bookmarkStart w:id="81" w:name="mip64583748"/>
      <w:bookmarkEnd w:id="81"/>
      <w:r w:rsidRPr="005C158A">
        <w:rPr>
          <w:rFonts w:ascii="Arial" w:hAnsi="Arial" w:cs="Arial"/>
          <w:sz w:val="20"/>
          <w:szCs w:val="20"/>
        </w:rPr>
        <w:t xml:space="preserve">Następnie Prezes Biura, w drodze decyzji, uchyla bądź przedłuża o następne 6 miesięcy wspomniany zakaz. </w:t>
      </w:r>
    </w:p>
    <w:p w14:paraId="0B5EFCC8" w14:textId="77777777" w:rsidR="002A6123" w:rsidRPr="005C158A" w:rsidRDefault="002A6123" w:rsidP="00401710">
      <w:pPr>
        <w:spacing w:line="360" w:lineRule="auto"/>
        <w:jc w:val="both"/>
        <w:rPr>
          <w:rFonts w:ascii="Arial" w:hAnsi="Arial" w:cs="Arial"/>
          <w:sz w:val="20"/>
          <w:szCs w:val="20"/>
        </w:rPr>
      </w:pPr>
      <w:r w:rsidRPr="005C158A">
        <w:rPr>
          <w:rFonts w:ascii="Arial" w:hAnsi="Arial" w:cs="Arial"/>
          <w:sz w:val="20"/>
          <w:szCs w:val="20"/>
        </w:rPr>
        <w:t xml:space="preserve">Stąd, proponuje się odstąpienie od zasady dwuinstancyjności postępowania ze względu na charakter tego środka i niecelowość jego zastosowania. </w:t>
      </w:r>
    </w:p>
    <w:p w14:paraId="500B1343" w14:textId="51211954" w:rsidR="00F70031" w:rsidRPr="005C158A" w:rsidRDefault="00C30E1B" w:rsidP="00401710">
      <w:pPr>
        <w:pStyle w:val="Nagwek2"/>
        <w:spacing w:before="120" w:after="120" w:line="360" w:lineRule="auto"/>
        <w:jc w:val="both"/>
        <w:rPr>
          <w:rFonts w:ascii="Arial" w:hAnsi="Arial" w:cs="Arial"/>
          <w:color w:val="auto"/>
          <w:sz w:val="20"/>
          <w:szCs w:val="20"/>
        </w:rPr>
      </w:pPr>
      <w:bookmarkStart w:id="82" w:name="_Toc138329780"/>
      <w:r w:rsidRPr="005C158A">
        <w:rPr>
          <w:rFonts w:ascii="Arial" w:hAnsi="Arial" w:cs="Arial"/>
          <w:color w:val="auto"/>
          <w:sz w:val="20"/>
          <w:szCs w:val="20"/>
        </w:rPr>
        <w:t>Ustawa</w:t>
      </w:r>
      <w:r w:rsidR="00F70031" w:rsidRPr="005C158A">
        <w:rPr>
          <w:rFonts w:ascii="Arial" w:hAnsi="Arial" w:cs="Arial"/>
          <w:color w:val="auto"/>
          <w:sz w:val="20"/>
          <w:szCs w:val="20"/>
        </w:rPr>
        <w:t xml:space="preserve"> z dnia 20 lutego 2015 r. o odnawialnych źródłach energii</w:t>
      </w:r>
      <w:bookmarkEnd w:id="82"/>
    </w:p>
    <w:p w14:paraId="08A1AC93" w14:textId="3A13787D" w:rsidR="00F70031" w:rsidRPr="005C158A" w:rsidRDefault="00F70031" w:rsidP="00401710">
      <w:pPr>
        <w:autoSpaceDE w:val="0"/>
        <w:autoSpaceDN w:val="0"/>
        <w:adjustRightInd w:val="0"/>
        <w:spacing w:after="120" w:line="360" w:lineRule="auto"/>
        <w:jc w:val="both"/>
        <w:rPr>
          <w:rFonts w:ascii="Arial" w:hAnsi="Arial" w:cs="Arial"/>
          <w:sz w:val="20"/>
          <w:szCs w:val="20"/>
        </w:rPr>
      </w:pPr>
      <w:r w:rsidRPr="005C158A">
        <w:rPr>
          <w:rFonts w:ascii="Arial" w:hAnsi="Arial" w:cs="Arial"/>
          <w:sz w:val="20"/>
          <w:szCs w:val="20"/>
        </w:rPr>
        <w:t>Do definicji  małej instalacji</w:t>
      </w:r>
      <w:r w:rsidR="00827EA2" w:rsidRPr="005C158A">
        <w:rPr>
          <w:rFonts w:ascii="Arial" w:hAnsi="Arial" w:cs="Arial"/>
          <w:sz w:val="20"/>
          <w:szCs w:val="20"/>
        </w:rPr>
        <w:t xml:space="preserve"> i </w:t>
      </w:r>
      <w:proofErr w:type="spellStart"/>
      <w:r w:rsidR="00827EA2" w:rsidRPr="005C158A">
        <w:rPr>
          <w:rFonts w:ascii="Arial" w:hAnsi="Arial" w:cs="Arial"/>
          <w:sz w:val="20"/>
          <w:szCs w:val="20"/>
        </w:rPr>
        <w:t>mikroinstalacji</w:t>
      </w:r>
      <w:proofErr w:type="spellEnd"/>
      <w:r w:rsidRPr="005C158A">
        <w:rPr>
          <w:rFonts w:ascii="Arial" w:hAnsi="Arial" w:cs="Arial"/>
          <w:sz w:val="20"/>
          <w:szCs w:val="20"/>
        </w:rPr>
        <w:t xml:space="preserve">, zamieszczonych w </w:t>
      </w:r>
      <w:r w:rsidRPr="005C158A">
        <w:rPr>
          <w:rFonts w:ascii="Arial" w:hAnsi="Arial" w:cs="Arial"/>
          <w:b/>
          <w:bCs/>
          <w:sz w:val="20"/>
          <w:szCs w:val="20"/>
        </w:rPr>
        <w:t>art. 2 pkt 1</w:t>
      </w:r>
      <w:r w:rsidR="00827EA2" w:rsidRPr="005C158A">
        <w:rPr>
          <w:rFonts w:ascii="Arial" w:hAnsi="Arial" w:cs="Arial"/>
          <w:b/>
          <w:bCs/>
          <w:sz w:val="20"/>
          <w:szCs w:val="20"/>
        </w:rPr>
        <w:t>8</w:t>
      </w:r>
      <w:r w:rsidRPr="005C158A">
        <w:rPr>
          <w:rFonts w:ascii="Arial" w:hAnsi="Arial" w:cs="Arial"/>
          <w:b/>
          <w:bCs/>
          <w:sz w:val="20"/>
          <w:szCs w:val="20"/>
        </w:rPr>
        <w:t xml:space="preserve"> </w:t>
      </w:r>
      <w:r w:rsidRPr="005C158A">
        <w:rPr>
          <w:rFonts w:ascii="Arial" w:hAnsi="Arial" w:cs="Arial"/>
          <w:sz w:val="20"/>
          <w:szCs w:val="20"/>
        </w:rPr>
        <w:t xml:space="preserve">i </w:t>
      </w:r>
      <w:r w:rsidRPr="005C158A">
        <w:rPr>
          <w:rFonts w:ascii="Arial" w:hAnsi="Arial" w:cs="Arial"/>
          <w:b/>
          <w:bCs/>
          <w:sz w:val="20"/>
          <w:szCs w:val="20"/>
        </w:rPr>
        <w:t>1</w:t>
      </w:r>
      <w:r w:rsidR="00827EA2" w:rsidRPr="005C158A">
        <w:rPr>
          <w:rFonts w:ascii="Arial" w:hAnsi="Arial" w:cs="Arial"/>
          <w:b/>
          <w:bCs/>
          <w:sz w:val="20"/>
          <w:szCs w:val="20"/>
        </w:rPr>
        <w:t>9</w:t>
      </w:r>
      <w:r w:rsidRPr="005C158A">
        <w:rPr>
          <w:rFonts w:ascii="Arial" w:hAnsi="Arial" w:cs="Arial"/>
          <w:sz w:val="20"/>
          <w:szCs w:val="20"/>
        </w:rPr>
        <w:t xml:space="preserve"> ustawy o odnawialnych źródłach energii, po fragmentach stanowiących o warunkach dotyczących przyłączenia do sieci („przyłączoną do sieci elektroenergetycznej o napięciu znamionowym niższym niż 110 </w:t>
      </w:r>
      <w:proofErr w:type="spellStart"/>
      <w:r w:rsidRPr="005C158A">
        <w:rPr>
          <w:rFonts w:ascii="Arial" w:hAnsi="Arial" w:cs="Arial"/>
          <w:sz w:val="20"/>
          <w:szCs w:val="20"/>
        </w:rPr>
        <w:t>kV</w:t>
      </w:r>
      <w:proofErr w:type="spellEnd"/>
      <w:r w:rsidRPr="005C158A">
        <w:rPr>
          <w:rFonts w:ascii="Arial" w:hAnsi="Arial" w:cs="Arial"/>
          <w:sz w:val="20"/>
          <w:szCs w:val="20"/>
        </w:rPr>
        <w:t xml:space="preserve">” oraz „przyłączoną do sieci elektroenergetycznej o napięciu znamionowym niższym niż 110 </w:t>
      </w:r>
      <w:proofErr w:type="spellStart"/>
      <w:r w:rsidRPr="005C158A">
        <w:rPr>
          <w:rFonts w:ascii="Arial" w:hAnsi="Arial" w:cs="Arial"/>
          <w:sz w:val="20"/>
          <w:szCs w:val="20"/>
        </w:rPr>
        <w:t>kV</w:t>
      </w:r>
      <w:proofErr w:type="spellEnd"/>
      <w:r w:rsidRPr="005C158A">
        <w:rPr>
          <w:rFonts w:ascii="Arial" w:hAnsi="Arial" w:cs="Arial"/>
          <w:sz w:val="20"/>
          <w:szCs w:val="20"/>
        </w:rPr>
        <w:t>”) należy dodać zastrzeżenia w postaci „</w:t>
      </w:r>
      <w:r w:rsidR="008E3DC3" w:rsidRPr="005C158A">
        <w:rPr>
          <w:rFonts w:ascii="Arial" w:hAnsi="Arial" w:cs="Arial"/>
          <w:sz w:val="20"/>
          <w:szCs w:val="20"/>
        </w:rPr>
        <w:t>lub nieprzyłączoną do sieci elektroenergetycznej</w:t>
      </w:r>
      <w:r w:rsidRPr="005C158A">
        <w:rPr>
          <w:rFonts w:ascii="Arial" w:hAnsi="Arial" w:cs="Arial"/>
          <w:sz w:val="20"/>
          <w:szCs w:val="20"/>
        </w:rPr>
        <w:t>”). Umożliwi to zastosowanie tych definicji również do instalacji wyspowych, które czasami mogą być wykorzystywane przez prosumentów i przedsiębiorców. Tym samym, podmioty te będą mogły skorzystać z programów dofinansowania, które posługują się tymi definicjami.</w:t>
      </w:r>
    </w:p>
    <w:p w14:paraId="28DD86C0" w14:textId="05067F1D" w:rsidR="00CE220E" w:rsidRPr="005C158A" w:rsidRDefault="00C30E1B" w:rsidP="00401710">
      <w:pPr>
        <w:pStyle w:val="Nagwek2"/>
        <w:spacing w:before="120" w:after="120" w:line="360" w:lineRule="auto"/>
        <w:jc w:val="both"/>
        <w:rPr>
          <w:rFonts w:ascii="Arial" w:hAnsi="Arial" w:cs="Arial"/>
          <w:color w:val="auto"/>
          <w:sz w:val="20"/>
          <w:szCs w:val="20"/>
        </w:rPr>
      </w:pPr>
      <w:bookmarkStart w:id="83" w:name="_Toc138329781"/>
      <w:r w:rsidRPr="005C158A">
        <w:rPr>
          <w:rFonts w:ascii="Arial" w:hAnsi="Arial" w:cs="Arial"/>
          <w:color w:val="auto"/>
          <w:sz w:val="20"/>
          <w:szCs w:val="20"/>
        </w:rPr>
        <w:t>Ustawa</w:t>
      </w:r>
      <w:r w:rsidR="00CE220E" w:rsidRPr="005C158A">
        <w:rPr>
          <w:rFonts w:ascii="Arial" w:hAnsi="Arial" w:cs="Arial"/>
          <w:color w:val="auto"/>
          <w:sz w:val="20"/>
          <w:szCs w:val="20"/>
        </w:rPr>
        <w:t xml:space="preserve"> z dnia 24 listopada 2017 r. o imprezach turystycznych i powiązanych usługach turystycznych</w:t>
      </w:r>
      <w:bookmarkEnd w:id="83"/>
    </w:p>
    <w:p w14:paraId="738E5B88" w14:textId="36047116" w:rsidR="00CE220E" w:rsidRPr="005C158A" w:rsidRDefault="00CE220E" w:rsidP="00DC6DF4">
      <w:pPr>
        <w:pStyle w:val="Akapitzlist"/>
        <w:numPr>
          <w:ilvl w:val="0"/>
          <w:numId w:val="2"/>
        </w:numPr>
        <w:spacing w:line="360" w:lineRule="auto"/>
        <w:ind w:left="0" w:firstLine="0"/>
        <w:jc w:val="both"/>
        <w:rPr>
          <w:rFonts w:ascii="Arial" w:hAnsi="Arial" w:cs="Arial"/>
          <w:sz w:val="20"/>
          <w:szCs w:val="20"/>
        </w:rPr>
      </w:pPr>
      <w:r w:rsidRPr="005C158A">
        <w:rPr>
          <w:rFonts w:ascii="Arial" w:hAnsi="Arial" w:cs="Arial"/>
          <w:sz w:val="20"/>
          <w:szCs w:val="20"/>
        </w:rPr>
        <w:t>Ochrona prawna nazwy „organizator turystyki”</w:t>
      </w:r>
      <w:r w:rsidR="00606961" w:rsidRPr="005C158A">
        <w:rPr>
          <w:rFonts w:ascii="Arial" w:hAnsi="Arial" w:cs="Arial"/>
          <w:sz w:val="20"/>
          <w:szCs w:val="20"/>
        </w:rPr>
        <w:t>.</w:t>
      </w:r>
      <w:r w:rsidRPr="005C158A">
        <w:rPr>
          <w:rFonts w:ascii="Arial" w:hAnsi="Arial" w:cs="Arial"/>
          <w:sz w:val="20"/>
          <w:szCs w:val="20"/>
        </w:rPr>
        <w:t xml:space="preserve"> </w:t>
      </w:r>
    </w:p>
    <w:p w14:paraId="015319C2" w14:textId="7C2F2CC5" w:rsidR="00CE220E" w:rsidRPr="005C158A" w:rsidRDefault="00CE220E" w:rsidP="00401710">
      <w:pPr>
        <w:spacing w:line="360" w:lineRule="auto"/>
        <w:jc w:val="both"/>
        <w:rPr>
          <w:rFonts w:ascii="Arial" w:hAnsi="Arial" w:cs="Arial"/>
          <w:sz w:val="20"/>
          <w:szCs w:val="20"/>
        </w:rPr>
      </w:pPr>
      <w:r w:rsidRPr="005C158A">
        <w:rPr>
          <w:rFonts w:ascii="Arial" w:hAnsi="Arial" w:cs="Arial"/>
          <w:sz w:val="20"/>
          <w:szCs w:val="20"/>
        </w:rPr>
        <w:t>Zmiana wynika z praktyki, która wskazuje na funkcjonowanie w obszarze organizowania imprez turystycznych podmiotów, które działają bez wpisu do ewidencji organizatorów turystyki i</w:t>
      </w:r>
      <w:r w:rsidR="00295358" w:rsidRPr="005C158A">
        <w:rPr>
          <w:rFonts w:ascii="Arial" w:hAnsi="Arial" w:cs="Arial"/>
          <w:sz w:val="20"/>
          <w:szCs w:val="20"/>
        </w:rPr>
        <w:t> </w:t>
      </w:r>
      <w:r w:rsidRPr="005C158A">
        <w:rPr>
          <w:rFonts w:ascii="Arial" w:hAnsi="Arial" w:cs="Arial"/>
          <w:sz w:val="20"/>
          <w:szCs w:val="20"/>
        </w:rPr>
        <w:t>przedsiębiorców ułatwiających nabywanie powiązanych usług turystycznych, a posługują się</w:t>
      </w:r>
      <w:r w:rsidR="00827EA2" w:rsidRPr="005C158A">
        <w:rPr>
          <w:rFonts w:ascii="Arial" w:hAnsi="Arial" w:cs="Arial"/>
          <w:sz w:val="20"/>
          <w:szCs w:val="20"/>
        </w:rPr>
        <w:t xml:space="preserve"> tą</w:t>
      </w:r>
      <w:r w:rsidRPr="005C158A">
        <w:rPr>
          <w:rFonts w:ascii="Arial" w:hAnsi="Arial" w:cs="Arial"/>
          <w:sz w:val="20"/>
          <w:szCs w:val="20"/>
        </w:rPr>
        <w:t xml:space="preserve"> nazwą. Należy zatem uwzględnić ochronę prawną tej nazwy, aby nie dochodziło do sytuacji nadużywania stosowania nazewnictwa</w:t>
      </w:r>
      <w:r w:rsidR="00827EA2" w:rsidRPr="005C158A">
        <w:rPr>
          <w:rFonts w:ascii="Arial" w:hAnsi="Arial" w:cs="Arial"/>
          <w:sz w:val="20"/>
          <w:szCs w:val="20"/>
        </w:rPr>
        <w:t xml:space="preserve"> „organizator turystyki”</w:t>
      </w:r>
      <w:r w:rsidRPr="005C158A">
        <w:rPr>
          <w:rFonts w:ascii="Arial" w:hAnsi="Arial" w:cs="Arial"/>
          <w:sz w:val="20"/>
          <w:szCs w:val="20"/>
        </w:rPr>
        <w:t xml:space="preserve">. Wskazany przepis pozwoli także na ochronę nazwy tylko </w:t>
      </w:r>
      <w:r w:rsidR="00827EA2" w:rsidRPr="005C158A">
        <w:rPr>
          <w:rFonts w:ascii="Arial" w:hAnsi="Arial" w:cs="Arial"/>
          <w:sz w:val="20"/>
          <w:szCs w:val="20"/>
        </w:rPr>
        <w:t>wobec tych</w:t>
      </w:r>
      <w:r w:rsidRPr="005C158A">
        <w:rPr>
          <w:rFonts w:ascii="Arial" w:hAnsi="Arial" w:cs="Arial"/>
          <w:sz w:val="20"/>
          <w:szCs w:val="20"/>
        </w:rPr>
        <w:t xml:space="preserve"> podmiot</w:t>
      </w:r>
      <w:r w:rsidR="00827EA2" w:rsidRPr="005C158A">
        <w:rPr>
          <w:rFonts w:ascii="Arial" w:hAnsi="Arial" w:cs="Arial"/>
          <w:sz w:val="20"/>
          <w:szCs w:val="20"/>
        </w:rPr>
        <w:t>ów,</w:t>
      </w:r>
      <w:r w:rsidRPr="005C158A">
        <w:rPr>
          <w:rFonts w:ascii="Arial" w:hAnsi="Arial" w:cs="Arial"/>
          <w:sz w:val="20"/>
          <w:szCs w:val="20"/>
        </w:rPr>
        <w:t xml:space="preserve"> które są zarejestrowane w ewidencji organizatorów turystyki i przedsiębiorców ułatwiających nabywanie powiązanych usług turystycznych</w:t>
      </w:r>
      <w:r w:rsidR="00827EA2" w:rsidRPr="005C158A">
        <w:rPr>
          <w:rFonts w:ascii="Arial" w:hAnsi="Arial" w:cs="Arial"/>
          <w:sz w:val="20"/>
          <w:szCs w:val="20"/>
        </w:rPr>
        <w:t>,</w:t>
      </w:r>
      <w:r w:rsidRPr="005C158A">
        <w:rPr>
          <w:rFonts w:ascii="Arial" w:hAnsi="Arial" w:cs="Arial"/>
          <w:sz w:val="20"/>
          <w:szCs w:val="20"/>
        </w:rPr>
        <w:t xml:space="preserve"> a także </w:t>
      </w:r>
      <w:r w:rsidR="00827EA2" w:rsidRPr="005C158A">
        <w:rPr>
          <w:rFonts w:ascii="Arial" w:hAnsi="Arial" w:cs="Arial"/>
          <w:sz w:val="20"/>
          <w:szCs w:val="20"/>
        </w:rPr>
        <w:t xml:space="preserve">we </w:t>
      </w:r>
      <w:r w:rsidRPr="005C158A">
        <w:rPr>
          <w:rFonts w:ascii="Arial" w:hAnsi="Arial" w:cs="Arial"/>
          <w:sz w:val="20"/>
          <w:szCs w:val="20"/>
        </w:rPr>
        <w:t xml:space="preserve">właściwym rejestrze działalności gospodarczej. Dokonanie wpisu wyłącznie do rejestru działalności gospodarczej nie upoważnia danego podmiotu do używania nazwy chronionej „organizator turystyki”. W konsekwencji proponuje się </w:t>
      </w:r>
      <w:r w:rsidR="00827EA2" w:rsidRPr="005C158A">
        <w:rPr>
          <w:rFonts w:ascii="Arial" w:hAnsi="Arial" w:cs="Arial"/>
          <w:sz w:val="20"/>
          <w:szCs w:val="20"/>
        </w:rPr>
        <w:t>dodanie</w:t>
      </w:r>
      <w:r w:rsidRPr="005C158A">
        <w:rPr>
          <w:rFonts w:ascii="Arial" w:hAnsi="Arial" w:cs="Arial"/>
          <w:sz w:val="20"/>
          <w:szCs w:val="20"/>
        </w:rPr>
        <w:t xml:space="preserve"> nowego </w:t>
      </w:r>
      <w:r w:rsidRPr="005C158A">
        <w:rPr>
          <w:rFonts w:ascii="Arial" w:hAnsi="Arial" w:cs="Arial"/>
          <w:b/>
          <w:bCs/>
          <w:sz w:val="20"/>
          <w:szCs w:val="20"/>
        </w:rPr>
        <w:t xml:space="preserve">art. 4a </w:t>
      </w:r>
      <w:r w:rsidRPr="005C158A">
        <w:rPr>
          <w:rFonts w:ascii="Arial" w:hAnsi="Arial" w:cs="Arial"/>
          <w:sz w:val="20"/>
          <w:szCs w:val="20"/>
        </w:rPr>
        <w:t>ustawy o imprezach turystycznych i powiązanych usługach turystycznych</w:t>
      </w:r>
      <w:r w:rsidR="00606961" w:rsidRPr="005C158A">
        <w:rPr>
          <w:rFonts w:ascii="Arial" w:hAnsi="Arial" w:cs="Arial"/>
          <w:sz w:val="20"/>
          <w:szCs w:val="20"/>
        </w:rPr>
        <w:t xml:space="preserve">, na mocy którego określenie </w:t>
      </w:r>
      <w:bookmarkStart w:id="84" w:name="highlightHit_25"/>
      <w:bookmarkStart w:id="85" w:name="highlightHit_26"/>
      <w:bookmarkEnd w:id="84"/>
      <w:bookmarkEnd w:id="85"/>
      <w:r w:rsidR="00606961" w:rsidRPr="005C158A">
        <w:rPr>
          <w:rFonts w:ascii="Arial" w:hAnsi="Arial" w:cs="Arial"/>
          <w:sz w:val="20"/>
          <w:szCs w:val="20"/>
        </w:rPr>
        <w:t xml:space="preserve">„organizator turystyki” może być używane wyłącznie dla oznaczenia </w:t>
      </w:r>
      <w:bookmarkStart w:id="86" w:name="highlightHit_27"/>
      <w:bookmarkStart w:id="87" w:name="highlightHit_28"/>
      <w:bookmarkEnd w:id="86"/>
      <w:bookmarkEnd w:id="87"/>
      <w:r w:rsidR="00606961" w:rsidRPr="005C158A">
        <w:rPr>
          <w:rFonts w:ascii="Arial" w:hAnsi="Arial" w:cs="Arial"/>
          <w:sz w:val="20"/>
          <w:szCs w:val="20"/>
        </w:rPr>
        <w:t xml:space="preserve">podmiotu, o którym mowa </w:t>
      </w:r>
      <w:r w:rsidR="00827EA2" w:rsidRPr="005C158A">
        <w:rPr>
          <w:rFonts w:ascii="Arial" w:hAnsi="Arial" w:cs="Arial"/>
          <w:sz w:val="20"/>
          <w:szCs w:val="20"/>
        </w:rPr>
        <w:t xml:space="preserve">w art. 4 pkt 8 </w:t>
      </w:r>
      <w:r w:rsidR="00606961" w:rsidRPr="005C158A">
        <w:rPr>
          <w:rFonts w:ascii="Arial" w:hAnsi="Arial" w:cs="Arial"/>
          <w:sz w:val="20"/>
          <w:szCs w:val="20"/>
        </w:rPr>
        <w:t>ustaw</w:t>
      </w:r>
      <w:r w:rsidR="00827EA2" w:rsidRPr="005C158A">
        <w:rPr>
          <w:rFonts w:ascii="Arial" w:hAnsi="Arial" w:cs="Arial"/>
          <w:sz w:val="20"/>
          <w:szCs w:val="20"/>
        </w:rPr>
        <w:t>y</w:t>
      </w:r>
      <w:r w:rsidR="00606961" w:rsidRPr="005C158A">
        <w:rPr>
          <w:rFonts w:ascii="Arial" w:hAnsi="Arial" w:cs="Arial"/>
          <w:sz w:val="20"/>
          <w:szCs w:val="20"/>
        </w:rPr>
        <w:t>.</w:t>
      </w:r>
    </w:p>
    <w:p w14:paraId="3182DFFA" w14:textId="4D240C8C" w:rsidR="00CE220E" w:rsidRPr="005C158A" w:rsidRDefault="00CE220E" w:rsidP="00DC6DF4">
      <w:pPr>
        <w:pStyle w:val="Akapitzlist"/>
        <w:numPr>
          <w:ilvl w:val="0"/>
          <w:numId w:val="2"/>
        </w:numPr>
        <w:spacing w:line="360" w:lineRule="auto"/>
        <w:ind w:left="0" w:firstLine="0"/>
        <w:jc w:val="both"/>
        <w:rPr>
          <w:rFonts w:ascii="Arial" w:hAnsi="Arial" w:cs="Arial"/>
          <w:sz w:val="20"/>
          <w:szCs w:val="20"/>
        </w:rPr>
      </w:pPr>
      <w:r w:rsidRPr="005C158A">
        <w:rPr>
          <w:rFonts w:ascii="Arial" w:hAnsi="Arial" w:cs="Arial"/>
          <w:sz w:val="20"/>
          <w:szCs w:val="20"/>
        </w:rPr>
        <w:lastRenderedPageBreak/>
        <w:t>Zmiana w zakresie Turystycznego Funduszu Gwarancyjnego</w:t>
      </w:r>
      <w:r w:rsidR="00606961" w:rsidRPr="005C158A">
        <w:rPr>
          <w:rFonts w:ascii="Arial" w:hAnsi="Arial" w:cs="Arial"/>
          <w:sz w:val="20"/>
          <w:szCs w:val="20"/>
        </w:rPr>
        <w:t>.</w:t>
      </w:r>
      <w:r w:rsidRPr="005C158A">
        <w:rPr>
          <w:rFonts w:ascii="Arial" w:hAnsi="Arial" w:cs="Arial"/>
          <w:sz w:val="20"/>
          <w:szCs w:val="20"/>
        </w:rPr>
        <w:t xml:space="preserve"> </w:t>
      </w:r>
    </w:p>
    <w:p w14:paraId="2025778D" w14:textId="0DA1FD70" w:rsidR="00DF5335" w:rsidRPr="005C158A" w:rsidRDefault="00DF5335" w:rsidP="00401710">
      <w:pPr>
        <w:spacing w:line="360" w:lineRule="auto"/>
        <w:jc w:val="both"/>
        <w:rPr>
          <w:rFonts w:ascii="Arial" w:hAnsi="Arial" w:cs="Arial"/>
          <w:sz w:val="20"/>
          <w:szCs w:val="20"/>
        </w:rPr>
      </w:pPr>
      <w:r w:rsidRPr="005C158A">
        <w:rPr>
          <w:rFonts w:ascii="Arial" w:hAnsi="Arial" w:cs="Arial"/>
          <w:sz w:val="20"/>
          <w:szCs w:val="20"/>
        </w:rPr>
        <w:t xml:space="preserve">W obecnym brzmieniu art. 58 przewidziana została sankcja za zaniżanie wysokości należnej składki  na Turystyczny Fundusz Gwarancyjny (TFG) w deklaracji, o której mowa w </w:t>
      </w:r>
      <w:hyperlink r:id="rId13" w:history="1">
        <w:r w:rsidRPr="005C158A">
          <w:rPr>
            <w:rFonts w:ascii="Arial" w:hAnsi="Arial" w:cs="Arial"/>
            <w:sz w:val="20"/>
            <w:szCs w:val="20"/>
          </w:rPr>
          <w:t>art. 7 ust. 1 pkt 4</w:t>
        </w:r>
      </w:hyperlink>
      <w:r w:rsidRPr="005C158A">
        <w:rPr>
          <w:rFonts w:ascii="Arial" w:hAnsi="Arial" w:cs="Arial"/>
          <w:sz w:val="20"/>
          <w:szCs w:val="20"/>
        </w:rPr>
        <w:t xml:space="preserve">, składanej do Ubezpieczeniowego Funduszu Gwarancyjnego. Z praktyki Ubezpieczeniowego Funduszu Gwarancyjnego, odpowiedzialnego za przyjmowanie od przedsiębiorców turystycznych deklaracji i składek na TFG wynika, że przepis ten w sposób niewystarczający zapewnia prewencję dotyczącą w ogólności realizacji przez przedsiębiorców obowiązków w zakresie składania deklaracji i uiszczania składek. Obecnie w przypadku braku realizacji obowiązków przez przedsiębiorcę turystycznego, sankcją jest jedynie wydanie przez marszałka województwa decyzji o wykreśleniu tego przedsiębiorcy z rejestru organizatorów turystyki i przedsiębiorców ułatwiających nabywanie powiązanych usług turystycznych oraz o zakazie wykonywania działalności przez okres 3 lat. Postępowania administracyjne w tym zakresie są jednak długotrwałe, często kończą się też umorzeniem tego postępowania. Powoduje to, że powyższa sankcja nie stanowi wystarczająco odstraszającego czynnika dla przedsiębiorców turystycznych. Z doświadczenia Ubezpieczeniowego Funduszu Gwarancyjnego wynika również, że obecnie obowiązujące regulacje nie zabezpieczają przed powtarzalnym brakiem realizacji obowiązków. Bardzo często przedsiębiorcy po otrzymaniu wezwania, składają zaległe deklaracje lub uiszczają należne składki, ale w kolejnych okresach ponownie nie wywiązują się z obowiązków wobec TFG. Rozszerzenie obecnej regulacji także na przypadki braku realizacji obowiązków pozwoli w sposób wymierny zabezpieczyć składanie deklaracji oraz dopływ środków do Funduszu, który jest tzw. II filarem systemu zabezpieczenia finansowego podróżnych na okoliczność niewypłacalności przedsiębiorcy turystycznego. </w:t>
      </w:r>
    </w:p>
    <w:p w14:paraId="2FC9A2AD" w14:textId="47681E87" w:rsidR="00DF5335" w:rsidRPr="005C158A" w:rsidRDefault="00DF5335" w:rsidP="00401710">
      <w:pPr>
        <w:spacing w:line="360" w:lineRule="auto"/>
        <w:jc w:val="both"/>
        <w:rPr>
          <w:rFonts w:ascii="Arial" w:hAnsi="Arial" w:cs="Arial"/>
          <w:sz w:val="20"/>
          <w:szCs w:val="20"/>
        </w:rPr>
      </w:pPr>
      <w:r w:rsidRPr="005C158A">
        <w:rPr>
          <w:rFonts w:ascii="Arial" w:hAnsi="Arial" w:cs="Arial"/>
          <w:sz w:val="20"/>
          <w:szCs w:val="20"/>
        </w:rPr>
        <w:t xml:space="preserve">Warto również zauważyć, że analogiczna sankcja jest też przewidziana w przypadku braku realizacji obowiązków dotyczących posiadania przez przedsiębiorcę turystycznego zabezpieczenia finansowego na wypadek niewypłacalności w tzw. I filarze zabezpieczeń (art. 60). Zasadne jest ujednolicenie sankcji za brak realizacji obowiązków odnoszących się do obu filarów zabezpieczenia na wypadek niewypłacalności. </w:t>
      </w:r>
    </w:p>
    <w:p w14:paraId="793AD53A" w14:textId="2383C53B" w:rsidR="00DF5335" w:rsidRPr="005C158A" w:rsidRDefault="00DF5335" w:rsidP="00401710">
      <w:pPr>
        <w:spacing w:line="360" w:lineRule="auto"/>
        <w:jc w:val="both"/>
        <w:rPr>
          <w:rFonts w:ascii="Arial" w:hAnsi="Arial" w:cs="Arial"/>
          <w:sz w:val="20"/>
          <w:szCs w:val="20"/>
        </w:rPr>
      </w:pPr>
      <w:r w:rsidRPr="005C158A">
        <w:rPr>
          <w:rFonts w:ascii="Arial" w:hAnsi="Arial" w:cs="Arial"/>
          <w:sz w:val="20"/>
          <w:szCs w:val="20"/>
        </w:rPr>
        <w:t>Mając na uwadze powyższe należy podkreślić, że proponowane modyfikacje przepisów mają za zadanie poprawę sytuacji przedsiębiorców turystycznych prawidłowo realizujących swoje obowiązki ustawowe w stosunku do podmiotów uchylających się od ich realizacji. Zmiana ma na celu zapewnienie skutecznej drogi egzekwowania obowiązków przedsiębiorców turystycznych wobec Turystycznego Funduszu Gwarancyjnego.</w:t>
      </w:r>
    </w:p>
    <w:p w14:paraId="3EECB1AC" w14:textId="77777777" w:rsidR="00DC6DF4" w:rsidRPr="005C158A" w:rsidRDefault="00DC6DF4" w:rsidP="00DC6DF4">
      <w:pPr>
        <w:pStyle w:val="Nagwek2"/>
        <w:spacing w:before="120" w:after="120" w:line="360" w:lineRule="auto"/>
        <w:jc w:val="both"/>
        <w:rPr>
          <w:rFonts w:ascii="Arial" w:hAnsi="Arial" w:cs="Arial"/>
          <w:sz w:val="20"/>
          <w:szCs w:val="20"/>
        </w:rPr>
      </w:pPr>
      <w:bookmarkStart w:id="88" w:name="_Toc136602641"/>
      <w:bookmarkStart w:id="89" w:name="_Toc138329782"/>
      <w:r w:rsidRPr="005C158A">
        <w:rPr>
          <w:rFonts w:ascii="Arial" w:hAnsi="Arial" w:cs="Arial"/>
          <w:color w:val="auto"/>
          <w:sz w:val="20"/>
          <w:szCs w:val="20"/>
        </w:rPr>
        <w:t>Ustawa z dnia 1 marca 2018 r. o przeciwdziałaniu praniu pieniędzy oraz finansowaniu terroryzmu</w:t>
      </w:r>
      <w:bookmarkEnd w:id="88"/>
      <w:bookmarkEnd w:id="89"/>
    </w:p>
    <w:p w14:paraId="1968E5E8" w14:textId="21A43730"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Proponowana w ustawie z dnia 1 marca 2018 r. o przeciwdziałaniu praniu pieniędzy oraz finansowaniu terroryzmu zmiana w</w:t>
      </w:r>
      <w:r w:rsidRPr="005C158A">
        <w:rPr>
          <w:rFonts w:ascii="Arial" w:eastAsia="Times New Roman" w:hAnsi="Arial" w:cs="Arial"/>
          <w:b/>
          <w:bCs/>
          <w:sz w:val="20"/>
          <w:szCs w:val="20"/>
          <w:lang w:eastAsia="pl-PL"/>
        </w:rPr>
        <w:t xml:space="preserve"> art. 72 ust. 6 pkt 7a </w:t>
      </w:r>
      <w:r w:rsidRPr="005C158A">
        <w:rPr>
          <w:rFonts w:ascii="Arial" w:eastAsia="Times New Roman" w:hAnsi="Arial" w:cs="Arial"/>
          <w:sz w:val="20"/>
          <w:szCs w:val="20"/>
          <w:lang w:eastAsia="pl-PL"/>
        </w:rPr>
        <w:t xml:space="preserve">pozwoli Szefowi Krajowej Administracji Skarbowej pozyskiwać dodatkowe dane dotyczące transakcji mieszkaniowych od notariuszy na potrzeby realizacji jego obowiązków ustawowych wynikających z ustawy, usprawniając tym samym prace administracji skarbowej i redukując ryzyko popełnienia błędów przy wpisywaniu danych. Dane te będą mogły być dodatkowo wykorzystywane dla celów działania Portalu Cen Mieszkań. </w:t>
      </w:r>
    </w:p>
    <w:p w14:paraId="2FF4A764" w14:textId="6BD4EE7A" w:rsidR="005B4FE5" w:rsidRPr="005C158A" w:rsidRDefault="005B4FE5" w:rsidP="00401710">
      <w:pPr>
        <w:pStyle w:val="Nagwek2"/>
        <w:spacing w:before="120" w:after="120" w:line="360" w:lineRule="auto"/>
        <w:jc w:val="both"/>
        <w:rPr>
          <w:rFonts w:ascii="Arial" w:hAnsi="Arial" w:cs="Arial"/>
          <w:color w:val="auto"/>
          <w:sz w:val="20"/>
          <w:szCs w:val="20"/>
        </w:rPr>
      </w:pPr>
      <w:bookmarkStart w:id="90" w:name="_Toc138329783"/>
      <w:r w:rsidRPr="005C158A">
        <w:rPr>
          <w:rFonts w:ascii="Arial" w:hAnsi="Arial" w:cs="Arial"/>
          <w:color w:val="auto"/>
          <w:sz w:val="20"/>
          <w:szCs w:val="20"/>
        </w:rPr>
        <w:lastRenderedPageBreak/>
        <w:t>Ustawa z dnia 6 marca 2018 r. o Centralnej Ewidencji i Informacji Działalności Gospodarczej i Punkcie Informacji dla Przedsiębiorcy</w:t>
      </w:r>
      <w:bookmarkEnd w:id="90"/>
    </w:p>
    <w:p w14:paraId="57C666CB" w14:textId="0C8835CE" w:rsidR="005B4FE5" w:rsidRPr="005C158A" w:rsidRDefault="005B4FE5" w:rsidP="00DC6DF4">
      <w:pPr>
        <w:pStyle w:val="Akapitzlist"/>
        <w:numPr>
          <w:ilvl w:val="0"/>
          <w:numId w:val="24"/>
        </w:numPr>
        <w:spacing w:before="120" w:after="120" w:line="360" w:lineRule="auto"/>
        <w:ind w:left="0" w:firstLine="142"/>
        <w:jc w:val="both"/>
        <w:rPr>
          <w:rFonts w:ascii="Arial" w:hAnsi="Arial" w:cs="Arial"/>
          <w:sz w:val="20"/>
          <w:szCs w:val="20"/>
        </w:rPr>
      </w:pPr>
      <w:r w:rsidRPr="005C158A">
        <w:rPr>
          <w:rFonts w:ascii="Arial" w:hAnsi="Arial" w:cs="Arial"/>
          <w:sz w:val="20"/>
          <w:szCs w:val="20"/>
        </w:rPr>
        <w:t xml:space="preserve">Zmiany w niniejszej ustawie służą uregulowaniu zasad prowadzenia działalności gospodarczej przez </w:t>
      </w:r>
      <w:r w:rsidR="0066356A" w:rsidRPr="005C158A">
        <w:rPr>
          <w:rFonts w:ascii="Arial" w:hAnsi="Arial" w:cs="Arial"/>
          <w:sz w:val="20"/>
          <w:szCs w:val="20"/>
        </w:rPr>
        <w:t>osoby posiadające ograniczoną zdolność do czynności prawnych</w:t>
      </w:r>
      <w:r w:rsidRPr="005C158A">
        <w:rPr>
          <w:rFonts w:ascii="Arial" w:hAnsi="Arial" w:cs="Arial"/>
          <w:sz w:val="20"/>
          <w:szCs w:val="20"/>
        </w:rPr>
        <w:t xml:space="preserve">. W tym celu proponuje się: </w:t>
      </w:r>
    </w:p>
    <w:p w14:paraId="71624DD0" w14:textId="6084DC14" w:rsidR="005B4FE5" w:rsidRPr="005C158A" w:rsidRDefault="005B4FE5" w:rsidP="00401710">
      <w:pPr>
        <w:spacing w:before="120" w:after="120" w:line="360" w:lineRule="auto"/>
        <w:jc w:val="both"/>
        <w:rPr>
          <w:rFonts w:ascii="Arial" w:hAnsi="Arial" w:cs="Arial"/>
          <w:sz w:val="20"/>
          <w:szCs w:val="20"/>
        </w:rPr>
      </w:pPr>
      <w:r w:rsidRPr="005C158A">
        <w:rPr>
          <w:rFonts w:ascii="Arial" w:hAnsi="Arial" w:cs="Arial"/>
          <w:sz w:val="20"/>
          <w:szCs w:val="20"/>
        </w:rPr>
        <w:t>1)</w:t>
      </w:r>
      <w:r w:rsidRPr="005C158A">
        <w:rPr>
          <w:rFonts w:ascii="Arial" w:hAnsi="Arial" w:cs="Arial"/>
          <w:sz w:val="20"/>
          <w:szCs w:val="20"/>
        </w:rPr>
        <w:tab/>
        <w:t>uchylić art. 5 ust. 2 pkt 3 dotyczący przedstawiciela ustawowego i zastąpić tę regulację szczegółową regulacją spójną z wprowadzanymi zmianami w zakresie ujawniania we wpisie danych o  przedsiębiorcy</w:t>
      </w:r>
      <w:r w:rsidR="0066356A" w:rsidRPr="005C158A">
        <w:rPr>
          <w:rFonts w:ascii="Arial" w:hAnsi="Arial" w:cs="Arial"/>
          <w:sz w:val="20"/>
          <w:szCs w:val="20"/>
        </w:rPr>
        <w:t xml:space="preserve"> posiadającym ograniczoną zdolność do czynności prawnych</w:t>
      </w:r>
      <w:r w:rsidRPr="005C158A">
        <w:rPr>
          <w:rFonts w:ascii="Arial" w:hAnsi="Arial" w:cs="Arial"/>
          <w:sz w:val="20"/>
          <w:szCs w:val="20"/>
        </w:rPr>
        <w:t>;</w:t>
      </w:r>
    </w:p>
    <w:p w14:paraId="63501D1F" w14:textId="73A1C690" w:rsidR="005B4FE5" w:rsidRPr="005C158A" w:rsidRDefault="005B4FE5" w:rsidP="00401710">
      <w:pPr>
        <w:spacing w:before="120" w:after="120" w:line="360" w:lineRule="auto"/>
        <w:jc w:val="both"/>
        <w:rPr>
          <w:rFonts w:ascii="Arial" w:hAnsi="Arial" w:cs="Arial"/>
          <w:sz w:val="20"/>
          <w:szCs w:val="20"/>
        </w:rPr>
      </w:pPr>
      <w:r w:rsidRPr="005C158A">
        <w:rPr>
          <w:rFonts w:ascii="Arial" w:hAnsi="Arial" w:cs="Arial"/>
          <w:sz w:val="20"/>
          <w:szCs w:val="20"/>
        </w:rPr>
        <w:t>2)</w:t>
      </w:r>
      <w:r w:rsidRPr="005C158A">
        <w:rPr>
          <w:rFonts w:ascii="Arial" w:hAnsi="Arial" w:cs="Arial"/>
          <w:sz w:val="20"/>
          <w:szCs w:val="20"/>
        </w:rPr>
        <w:tab/>
        <w:t>dodać prz</w:t>
      </w:r>
      <w:r w:rsidR="0066356A" w:rsidRPr="005C158A">
        <w:rPr>
          <w:rFonts w:ascii="Arial" w:hAnsi="Arial" w:cs="Arial"/>
          <w:sz w:val="20"/>
          <w:szCs w:val="20"/>
        </w:rPr>
        <w:t>ep</w:t>
      </w:r>
      <w:r w:rsidRPr="005C158A">
        <w:rPr>
          <w:rFonts w:ascii="Arial" w:hAnsi="Arial" w:cs="Arial"/>
          <w:sz w:val="20"/>
          <w:szCs w:val="20"/>
        </w:rPr>
        <w:t xml:space="preserve">isy, zgodnie z którymi </w:t>
      </w:r>
      <w:r w:rsidR="0066356A" w:rsidRPr="005C158A">
        <w:rPr>
          <w:rFonts w:ascii="Arial" w:hAnsi="Arial" w:cs="Arial"/>
          <w:sz w:val="20"/>
          <w:szCs w:val="20"/>
        </w:rPr>
        <w:t>osoby posiadające ograniczoną zdolność do czynności prawnych</w:t>
      </w:r>
      <w:r w:rsidRPr="005C158A">
        <w:rPr>
          <w:rFonts w:ascii="Arial" w:hAnsi="Arial" w:cs="Arial"/>
          <w:sz w:val="20"/>
          <w:szCs w:val="20"/>
        </w:rPr>
        <w:t>, wraz z wnioskiem o wpis do CEIDG będ</w:t>
      </w:r>
      <w:r w:rsidR="0066356A" w:rsidRPr="005C158A">
        <w:rPr>
          <w:rFonts w:ascii="Arial" w:hAnsi="Arial" w:cs="Arial"/>
          <w:sz w:val="20"/>
          <w:szCs w:val="20"/>
        </w:rPr>
        <w:t xml:space="preserve">ą okazywały odpis postanowienia </w:t>
      </w:r>
      <w:r w:rsidRPr="005C158A">
        <w:rPr>
          <w:rFonts w:ascii="Arial" w:hAnsi="Arial" w:cs="Arial"/>
          <w:sz w:val="20"/>
          <w:szCs w:val="20"/>
        </w:rPr>
        <w:t xml:space="preserve">sądu opiekuńczego na podjęcie działalności gospodarczej albo </w:t>
      </w:r>
      <w:r w:rsidR="0066356A" w:rsidRPr="005C158A">
        <w:rPr>
          <w:rFonts w:ascii="Arial" w:hAnsi="Arial" w:cs="Arial"/>
          <w:sz w:val="20"/>
          <w:szCs w:val="20"/>
        </w:rPr>
        <w:t xml:space="preserve">jego urzędowo poświadczony odpis. </w:t>
      </w:r>
      <w:r w:rsidRPr="005C158A">
        <w:rPr>
          <w:rFonts w:ascii="Arial" w:hAnsi="Arial" w:cs="Arial"/>
          <w:sz w:val="20"/>
          <w:szCs w:val="20"/>
        </w:rPr>
        <w:t xml:space="preserve">W przypadku wniosku o wpis do CEIDG składanego przez tę osobę z wykorzystaniem formularza elektronicznego, o którym mowa w art. 3 ust. 2 tej ustawy, dokument ten będzie dołączany w postaci elektronicznej opatrzonej kwalifikowanym podpisem elektronicznym albo podpisem potwierdzonym profilem zaufanym </w:t>
      </w:r>
      <w:proofErr w:type="spellStart"/>
      <w:r w:rsidRPr="005C158A">
        <w:rPr>
          <w:rFonts w:ascii="Arial" w:hAnsi="Arial" w:cs="Arial"/>
          <w:sz w:val="20"/>
          <w:szCs w:val="20"/>
        </w:rPr>
        <w:t>ePUAP</w:t>
      </w:r>
      <w:proofErr w:type="spellEnd"/>
      <w:r w:rsidRPr="005C158A">
        <w:rPr>
          <w:rFonts w:ascii="Arial" w:hAnsi="Arial" w:cs="Arial"/>
          <w:sz w:val="20"/>
          <w:szCs w:val="20"/>
        </w:rPr>
        <w:t xml:space="preserve"> albo podpisany w inny sposób akceptowany przez system CEIDG, umożliwiający jednoznaczną identyfikację osoby przesyłającej wniosek, czas jego przesyłania oraz zapewniający integralność danych zawartych we wniosku</w:t>
      </w:r>
      <w:r w:rsidR="0066356A" w:rsidRPr="005C158A">
        <w:rPr>
          <w:rFonts w:ascii="Arial" w:hAnsi="Arial" w:cs="Arial"/>
          <w:sz w:val="20"/>
          <w:szCs w:val="20"/>
        </w:rPr>
        <w:t>. We</w:t>
      </w:r>
      <w:r w:rsidRPr="005C158A">
        <w:rPr>
          <w:rFonts w:ascii="Arial" w:hAnsi="Arial" w:cs="Arial"/>
          <w:sz w:val="20"/>
          <w:szCs w:val="20"/>
        </w:rPr>
        <w:t xml:space="preserve"> wniosku o wpis do CEIDG będzie wskazywany także przedmiot wykonywanej działalności gospodarczej, według Polskiej Klasyfikacji Działalności (PKD), określony w postanowieniu sądu opiekuńczego</w:t>
      </w:r>
      <w:r w:rsidR="0066356A" w:rsidRPr="005C158A">
        <w:rPr>
          <w:rFonts w:ascii="Arial" w:hAnsi="Arial" w:cs="Arial"/>
          <w:sz w:val="20"/>
          <w:szCs w:val="20"/>
        </w:rPr>
        <w:t>, a także czy i w jakim zakresie osoba posiadająca ograniczoną zdolność do czynności prawnych może dokonywać czynności prawnych osobiście albo dane osoby,  która ją reprezentuje albo udziela zgody na dokonanie czynności prawnych w ramach działalności gospodarczej, wskazanej w postanowieniu sądu opiekuńczego;</w:t>
      </w:r>
    </w:p>
    <w:p w14:paraId="137A1225" w14:textId="76498890" w:rsidR="005B4FE5" w:rsidRPr="005C158A" w:rsidRDefault="005B4FE5" w:rsidP="00401710">
      <w:pPr>
        <w:spacing w:before="120" w:after="120" w:line="360" w:lineRule="auto"/>
        <w:jc w:val="both"/>
        <w:rPr>
          <w:rFonts w:ascii="Arial" w:hAnsi="Arial" w:cs="Arial"/>
          <w:sz w:val="20"/>
          <w:szCs w:val="20"/>
        </w:rPr>
      </w:pPr>
      <w:r w:rsidRPr="005C158A">
        <w:rPr>
          <w:rFonts w:ascii="Arial" w:hAnsi="Arial" w:cs="Arial"/>
          <w:sz w:val="20"/>
          <w:szCs w:val="20"/>
        </w:rPr>
        <w:t>3)</w:t>
      </w:r>
      <w:r w:rsidRPr="005C158A">
        <w:rPr>
          <w:rFonts w:ascii="Arial" w:hAnsi="Arial" w:cs="Arial"/>
          <w:sz w:val="20"/>
          <w:szCs w:val="20"/>
        </w:rPr>
        <w:tab/>
        <w:t xml:space="preserve">dodać przepis, na podstawie którego wniosek </w:t>
      </w:r>
      <w:r w:rsidR="0066356A" w:rsidRPr="005C158A">
        <w:rPr>
          <w:rFonts w:ascii="Arial" w:hAnsi="Arial" w:cs="Arial"/>
          <w:sz w:val="20"/>
          <w:szCs w:val="20"/>
        </w:rPr>
        <w:t xml:space="preserve">osoby posiadającej ograniczoną zdolność do czynności prawnych, </w:t>
      </w:r>
      <w:r w:rsidRPr="005C158A">
        <w:rPr>
          <w:rFonts w:ascii="Arial" w:hAnsi="Arial" w:cs="Arial"/>
          <w:sz w:val="20"/>
          <w:szCs w:val="20"/>
        </w:rPr>
        <w:t>któr</w:t>
      </w:r>
      <w:r w:rsidR="0066356A" w:rsidRPr="005C158A">
        <w:rPr>
          <w:rFonts w:ascii="Arial" w:hAnsi="Arial" w:cs="Arial"/>
          <w:sz w:val="20"/>
          <w:szCs w:val="20"/>
        </w:rPr>
        <w:t>a</w:t>
      </w:r>
      <w:r w:rsidRPr="005C158A">
        <w:rPr>
          <w:rFonts w:ascii="Arial" w:hAnsi="Arial" w:cs="Arial"/>
          <w:sz w:val="20"/>
          <w:szCs w:val="20"/>
        </w:rPr>
        <w:t xml:space="preserve"> nie posiada </w:t>
      </w:r>
      <w:r w:rsidR="0066356A" w:rsidRPr="005C158A">
        <w:rPr>
          <w:rFonts w:ascii="Arial" w:hAnsi="Arial" w:cs="Arial"/>
          <w:sz w:val="20"/>
          <w:szCs w:val="20"/>
        </w:rPr>
        <w:t>postanowienia</w:t>
      </w:r>
      <w:r w:rsidRPr="005C158A">
        <w:rPr>
          <w:rFonts w:ascii="Arial" w:hAnsi="Arial" w:cs="Arial"/>
          <w:sz w:val="20"/>
          <w:szCs w:val="20"/>
        </w:rPr>
        <w:t xml:space="preserve"> sądu opiekuńczego na podjęcie działalności gospodarczej lub wykonywanie działalności gospodarczej we wnioskowanym </w:t>
      </w:r>
      <w:r w:rsidR="0066356A" w:rsidRPr="005C158A">
        <w:rPr>
          <w:rFonts w:ascii="Arial" w:hAnsi="Arial" w:cs="Arial"/>
          <w:sz w:val="20"/>
          <w:szCs w:val="20"/>
        </w:rPr>
        <w:t>zakresie zgodnym z rozstrzygnięciami, o których mowa w art. 598</w:t>
      </w:r>
      <w:r w:rsidR="0066356A" w:rsidRPr="005C158A">
        <w:rPr>
          <w:rFonts w:ascii="Arial" w:hAnsi="Arial" w:cs="Arial"/>
          <w:sz w:val="20"/>
          <w:szCs w:val="20"/>
          <w:vertAlign w:val="superscript"/>
        </w:rPr>
        <w:t>26</w:t>
      </w:r>
      <w:r w:rsidR="0066356A" w:rsidRPr="005C158A">
        <w:rPr>
          <w:rFonts w:ascii="Arial" w:hAnsi="Arial" w:cs="Arial"/>
          <w:sz w:val="20"/>
          <w:szCs w:val="20"/>
        </w:rPr>
        <w:t xml:space="preserve"> ustawy z dnia 17 listopada 1964 r. – Kodeks postępowania cywilnego </w:t>
      </w:r>
      <w:r w:rsidRPr="005C158A">
        <w:rPr>
          <w:rFonts w:ascii="Arial" w:hAnsi="Arial" w:cs="Arial"/>
          <w:sz w:val="20"/>
          <w:szCs w:val="20"/>
        </w:rPr>
        <w:t xml:space="preserve">będzie uznawany za niepoprawny i może zostać pozostawiony bez rozpatrzenia; </w:t>
      </w:r>
    </w:p>
    <w:p w14:paraId="4D16CDC9" w14:textId="714F4FAE" w:rsidR="005B4FE5" w:rsidRPr="005C158A" w:rsidRDefault="005B4FE5" w:rsidP="00401710">
      <w:pPr>
        <w:spacing w:before="120" w:after="120" w:line="360" w:lineRule="auto"/>
        <w:jc w:val="both"/>
        <w:rPr>
          <w:rFonts w:ascii="Arial" w:hAnsi="Arial" w:cs="Arial"/>
          <w:sz w:val="20"/>
          <w:szCs w:val="20"/>
        </w:rPr>
      </w:pPr>
      <w:r w:rsidRPr="005C158A">
        <w:rPr>
          <w:rFonts w:ascii="Arial" w:hAnsi="Arial" w:cs="Arial"/>
          <w:sz w:val="20"/>
          <w:szCs w:val="20"/>
        </w:rPr>
        <w:t>4)</w:t>
      </w:r>
      <w:r w:rsidRPr="005C158A">
        <w:rPr>
          <w:rFonts w:ascii="Arial" w:hAnsi="Arial" w:cs="Arial"/>
          <w:sz w:val="20"/>
          <w:szCs w:val="20"/>
        </w:rPr>
        <w:tab/>
        <w:t xml:space="preserve">w art. 14 w ust. 2  i w art. 15 </w:t>
      </w:r>
      <w:r w:rsidR="00D23BA0" w:rsidRPr="005C158A">
        <w:rPr>
          <w:rFonts w:ascii="Arial" w:hAnsi="Arial" w:cs="Arial"/>
          <w:sz w:val="20"/>
          <w:szCs w:val="20"/>
        </w:rPr>
        <w:t>wprowadzić</w:t>
      </w:r>
      <w:r w:rsidRPr="005C158A">
        <w:rPr>
          <w:rFonts w:ascii="Arial" w:hAnsi="Arial" w:cs="Arial"/>
          <w:sz w:val="20"/>
          <w:szCs w:val="20"/>
        </w:rPr>
        <w:t xml:space="preserve"> korekty odesłań w związku z dodawanymi przepisami w art. 8;</w:t>
      </w:r>
    </w:p>
    <w:p w14:paraId="4AC14BAD" w14:textId="77777777" w:rsidR="0066356A" w:rsidRPr="005C158A" w:rsidRDefault="005B4FE5" w:rsidP="0066356A">
      <w:pPr>
        <w:spacing w:before="120" w:after="120" w:line="360" w:lineRule="auto"/>
        <w:jc w:val="both"/>
        <w:rPr>
          <w:rFonts w:ascii="Arial" w:hAnsi="Arial" w:cs="Arial"/>
          <w:sz w:val="20"/>
          <w:szCs w:val="20"/>
        </w:rPr>
      </w:pPr>
      <w:r w:rsidRPr="005C158A">
        <w:rPr>
          <w:rFonts w:ascii="Arial" w:hAnsi="Arial" w:cs="Arial"/>
          <w:sz w:val="20"/>
          <w:szCs w:val="20"/>
        </w:rPr>
        <w:t>5)</w:t>
      </w:r>
      <w:r w:rsidRPr="005C158A">
        <w:rPr>
          <w:rFonts w:ascii="Arial" w:hAnsi="Arial" w:cs="Arial"/>
          <w:sz w:val="20"/>
          <w:szCs w:val="20"/>
        </w:rPr>
        <w:tab/>
      </w:r>
      <w:r w:rsidR="0066356A" w:rsidRPr="005C158A">
        <w:rPr>
          <w:rFonts w:ascii="Arial" w:hAnsi="Arial" w:cs="Arial"/>
          <w:sz w:val="20"/>
          <w:szCs w:val="20"/>
        </w:rPr>
        <w:t>określić katalog informacji, które CEIDG będzie udostępniać, tj. informacje o: postanowieniach sądu opiekuńczego w przedmiocie zezwolenia na podjęcie lub wykonywanie działalności gospodarczej przez osobę posiadającą ograniczoną zdolność do czynności prawnych; uchyleniu lub zmiany postanowienia sądu opiekuńczego w przedmiocie zezwolenia na  podjęcie lub wykonywanie działalności gospodarczej przez osobę p</w:t>
      </w:r>
      <w:bookmarkStart w:id="91" w:name="_Hlk137638257"/>
      <w:r w:rsidR="0066356A" w:rsidRPr="005C158A">
        <w:rPr>
          <w:rFonts w:ascii="Arial" w:hAnsi="Arial" w:cs="Arial"/>
          <w:sz w:val="20"/>
          <w:szCs w:val="20"/>
        </w:rPr>
        <w:t>osiadającą ograniczoną zdolność do czynności prawnych</w:t>
      </w:r>
      <w:bookmarkEnd w:id="91"/>
      <w:r w:rsidR="0066356A" w:rsidRPr="005C158A">
        <w:rPr>
          <w:rFonts w:ascii="Arial" w:hAnsi="Arial" w:cs="Arial"/>
          <w:sz w:val="20"/>
          <w:szCs w:val="20"/>
        </w:rPr>
        <w:t xml:space="preserve">, postanowienia sądu opiekuńczego, w zakresie zakazu wykonywania działalności przez osobę posiadającą ograniczoną zdolność do czynności prawnych. Informacje te będą obejmować: datę wydania postanowienia, datę uprawomocnienia się postanowienia, sygnaturę sprawy, nazwę sądu, zakres rozstrzygnięcia, dane osoby, która reprezentuje albo udziela zgody na dokonanie czynności </w:t>
      </w:r>
      <w:r w:rsidR="0066356A" w:rsidRPr="005C158A">
        <w:rPr>
          <w:rFonts w:ascii="Arial" w:hAnsi="Arial" w:cs="Arial"/>
          <w:sz w:val="20"/>
          <w:szCs w:val="20"/>
        </w:rPr>
        <w:lastRenderedPageBreak/>
        <w:t>prawnych w ramach działalności gospodarczej osoby posiadającej ograniczoną zdolność do czynności prawnych , jeżeli bez jej zgody osoba  posiadającą ograniczoną zdolność do czynności prawnych nie może dokonywać czynności prawnych dotyczących działalności gospodarczej.</w:t>
      </w:r>
    </w:p>
    <w:p w14:paraId="2D43AF48" w14:textId="77777777" w:rsidR="005B4FE5" w:rsidRPr="005C158A" w:rsidRDefault="005B4FE5" w:rsidP="00401710">
      <w:pPr>
        <w:spacing w:before="120" w:after="120" w:line="360" w:lineRule="auto"/>
        <w:jc w:val="both"/>
        <w:rPr>
          <w:rFonts w:ascii="Arial" w:hAnsi="Arial" w:cs="Arial"/>
          <w:sz w:val="20"/>
          <w:szCs w:val="20"/>
        </w:rPr>
      </w:pPr>
      <w:r w:rsidRPr="005C158A">
        <w:rPr>
          <w:rFonts w:ascii="Arial" w:hAnsi="Arial" w:cs="Arial"/>
          <w:sz w:val="20"/>
          <w:szCs w:val="20"/>
        </w:rPr>
        <w:t>Informacje o postanowieniach sądu opiekuńczego zezwalających na podjęcie działalności gospodarczej będą przekazywane do CEIDG wraz z wnioskiem o wpis do CEIDG. CEIDG udostępni te informacje wraz z publikacją danych wpisowych.</w:t>
      </w:r>
    </w:p>
    <w:p w14:paraId="18A81D86" w14:textId="0AB0BBED" w:rsidR="005B4FE5" w:rsidRPr="005C158A" w:rsidRDefault="005B4FE5" w:rsidP="00401710">
      <w:pPr>
        <w:spacing w:before="120" w:after="120" w:line="360" w:lineRule="auto"/>
        <w:jc w:val="both"/>
        <w:rPr>
          <w:rFonts w:ascii="Arial" w:hAnsi="Arial" w:cs="Arial"/>
          <w:sz w:val="20"/>
          <w:szCs w:val="20"/>
        </w:rPr>
      </w:pPr>
      <w:r w:rsidRPr="005C158A">
        <w:rPr>
          <w:rFonts w:ascii="Arial" w:hAnsi="Arial" w:cs="Arial"/>
          <w:sz w:val="20"/>
          <w:szCs w:val="20"/>
        </w:rPr>
        <w:t>Informacje o pozostałych postanowieniach sądu opiekuńczego będą przekazywane do CEIDG przez sąd, nie później niż w terminie 3 dni roboczych od dnia wydania postanowienia, za pośrednictwem formularza dostępnego na stronie internetowej CEIDG lub za pośrednictwem innego formularza zintegrowanego z CEIDG systemu teleinformatycznego. Formularz będzie zawierał pola do wpisania niezbędnych informacji. CEIDG, udostępni te informacje nie później niż w dniu roboczym następującym po dniu ich otrzymania. Informacje w ww. zakresie będą udostępniane w CEIDG do dnia uzyskania pełnoletności przez małoletniego</w:t>
      </w:r>
      <w:r w:rsidR="00D23BA0" w:rsidRPr="005C158A">
        <w:rPr>
          <w:rFonts w:ascii="Arial" w:hAnsi="Arial" w:cs="Arial"/>
          <w:sz w:val="20"/>
          <w:szCs w:val="20"/>
        </w:rPr>
        <w:t>;</w:t>
      </w:r>
      <w:r w:rsidRPr="005C158A">
        <w:rPr>
          <w:rFonts w:ascii="Arial" w:hAnsi="Arial" w:cs="Arial"/>
          <w:sz w:val="20"/>
          <w:szCs w:val="20"/>
        </w:rPr>
        <w:t xml:space="preserve"> </w:t>
      </w:r>
    </w:p>
    <w:p w14:paraId="4459E1C3" w14:textId="1C4E43C2" w:rsidR="0066356A" w:rsidRPr="005C158A" w:rsidRDefault="005B4FE5" w:rsidP="0011422D">
      <w:pPr>
        <w:pStyle w:val="Akapitzlist"/>
        <w:numPr>
          <w:ilvl w:val="0"/>
          <w:numId w:val="17"/>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dodać przepis umożliwiający wykreślenie wpisu </w:t>
      </w:r>
      <w:r w:rsidR="0066356A" w:rsidRPr="005C158A">
        <w:rPr>
          <w:rFonts w:ascii="Arial" w:hAnsi="Arial" w:cs="Arial"/>
          <w:sz w:val="20"/>
          <w:szCs w:val="20"/>
        </w:rPr>
        <w:t xml:space="preserve">osoby posiadającej ograniczoną zdolność do czynności prawnych </w:t>
      </w:r>
      <w:r w:rsidRPr="005C158A">
        <w:rPr>
          <w:rFonts w:ascii="Arial" w:hAnsi="Arial" w:cs="Arial"/>
          <w:sz w:val="20"/>
          <w:szCs w:val="20"/>
        </w:rPr>
        <w:t xml:space="preserve">w przypadku wpisania danych niezgodnych z </w:t>
      </w:r>
      <w:r w:rsidR="0066356A" w:rsidRPr="005C158A">
        <w:rPr>
          <w:rFonts w:ascii="Arial" w:hAnsi="Arial" w:cs="Arial"/>
          <w:sz w:val="20"/>
          <w:szCs w:val="20"/>
        </w:rPr>
        <w:t xml:space="preserve">postanowieniem </w:t>
      </w:r>
      <w:r w:rsidRPr="005C158A">
        <w:rPr>
          <w:rFonts w:ascii="Arial" w:hAnsi="Arial" w:cs="Arial"/>
          <w:sz w:val="20"/>
          <w:szCs w:val="20"/>
        </w:rPr>
        <w:t xml:space="preserve">sądu opiekuńczego </w:t>
      </w:r>
      <w:r w:rsidR="0066356A" w:rsidRPr="005C158A">
        <w:rPr>
          <w:rFonts w:ascii="Arial" w:hAnsi="Arial" w:cs="Arial"/>
          <w:sz w:val="20"/>
          <w:szCs w:val="20"/>
        </w:rPr>
        <w:t xml:space="preserve">zezwalającego </w:t>
      </w:r>
      <w:r w:rsidRPr="005C158A">
        <w:rPr>
          <w:rFonts w:ascii="Arial" w:hAnsi="Arial" w:cs="Arial"/>
          <w:sz w:val="20"/>
          <w:szCs w:val="20"/>
        </w:rPr>
        <w:t xml:space="preserve">na podjęcie działalności gospodarczej lub wykonywanie działalności gospodarczej oraz przepis obligujący organy administracji publicznej oraz sądy, które posiadają informacje o utracie uprawnień przez </w:t>
      </w:r>
      <w:r w:rsidR="0066356A" w:rsidRPr="005C158A">
        <w:rPr>
          <w:rFonts w:ascii="Arial" w:hAnsi="Arial" w:cs="Arial"/>
          <w:sz w:val="20"/>
          <w:szCs w:val="20"/>
        </w:rPr>
        <w:t xml:space="preserve">taką osobę </w:t>
      </w:r>
      <w:r w:rsidRPr="005C158A">
        <w:rPr>
          <w:rFonts w:ascii="Arial" w:hAnsi="Arial" w:cs="Arial"/>
          <w:sz w:val="20"/>
          <w:szCs w:val="20"/>
        </w:rPr>
        <w:t xml:space="preserve">do wykonywania działalności gospodarczej, do przekazywania ich ministrowi właściwemu do spraw gospodarki </w:t>
      </w:r>
      <w:r w:rsidR="0066356A" w:rsidRPr="005C158A">
        <w:rPr>
          <w:rFonts w:ascii="Arial" w:hAnsi="Arial" w:cs="Arial"/>
          <w:sz w:val="20"/>
          <w:szCs w:val="20"/>
        </w:rPr>
        <w:t xml:space="preserve">także </w:t>
      </w:r>
      <w:r w:rsidRPr="005C158A">
        <w:rPr>
          <w:rFonts w:ascii="Arial" w:hAnsi="Arial" w:cs="Arial"/>
          <w:sz w:val="20"/>
          <w:szCs w:val="20"/>
        </w:rPr>
        <w:t xml:space="preserve">za pośrednictwem formularza dostępnego na stronie internetowej CEIDG niezwłocznie, nie później niż w terminie 3 dni roboczych od dnia otrzymania informacji. </w:t>
      </w:r>
    </w:p>
    <w:p w14:paraId="04815249" w14:textId="2D76AC6E" w:rsidR="005B4FE5" w:rsidRPr="005C158A" w:rsidRDefault="0066356A" w:rsidP="0066356A">
      <w:pPr>
        <w:pStyle w:val="Akapitzlist"/>
        <w:numPr>
          <w:ilvl w:val="0"/>
          <w:numId w:val="17"/>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dodać przepis umożliwiający wykreślenie osoby posiadającej ograniczoną zdolność do czynności prawnych jeżeli sąd poinformuje o wydaniu postanowienia w przedmiocie zakazu prowadzenia działalności przez takiego przedsiębiorcę.  Wykreślenie </w:t>
      </w:r>
      <w:r w:rsidR="005B4FE5" w:rsidRPr="005C158A">
        <w:rPr>
          <w:rFonts w:ascii="Arial" w:hAnsi="Arial" w:cs="Arial"/>
          <w:sz w:val="20"/>
          <w:szCs w:val="20"/>
        </w:rPr>
        <w:t>przedsiębiorcy z CEIDG nastąpi niezwłocznie po przekazaniu przez sąd opiekuńczy informacji, nie później jednak niż w terminie 7 dni od dnia dokonania zgłoszenia.</w:t>
      </w:r>
    </w:p>
    <w:p w14:paraId="6B5F6722" w14:textId="495A86DC" w:rsidR="0066356A" w:rsidRPr="005C158A" w:rsidRDefault="0066356A" w:rsidP="0011422D">
      <w:pPr>
        <w:pStyle w:val="Akapitzlist"/>
        <w:numPr>
          <w:ilvl w:val="0"/>
          <w:numId w:val="17"/>
        </w:numPr>
        <w:spacing w:before="120" w:after="120" w:line="360" w:lineRule="auto"/>
        <w:ind w:left="0" w:hanging="11"/>
        <w:jc w:val="both"/>
        <w:rPr>
          <w:rFonts w:ascii="Arial" w:hAnsi="Arial" w:cs="Arial"/>
          <w:sz w:val="20"/>
          <w:szCs w:val="20"/>
        </w:rPr>
      </w:pPr>
      <w:r w:rsidRPr="005C158A">
        <w:rPr>
          <w:rFonts w:ascii="Arial" w:hAnsi="Arial" w:cs="Arial"/>
          <w:sz w:val="20"/>
          <w:szCs w:val="20"/>
        </w:rPr>
        <w:t>dodać przepis, który pozwoli na wykreślenie osób, które zostaną pozbawiane zdolności do czynności prawnych po wejściu w życie ustawy. Wykreślenie z CEIDG nastąpi niezwłocznie po przekazaniu przez sąd informacji o uprawomocnieniu się orzeczenia, którego skutkiem jest ubezwłasnowolnienie całkowite przedsiębiorcy wpisanego do CEIDG, nie później niż w terminie 7 dni od dnia dokonania tego zgłoszenia.</w:t>
      </w:r>
    </w:p>
    <w:p w14:paraId="0A464762" w14:textId="09B38F48" w:rsidR="00BB717A" w:rsidRPr="005C158A" w:rsidRDefault="00BB717A" w:rsidP="00DC6DF4">
      <w:pPr>
        <w:pStyle w:val="Akapitzlist"/>
        <w:numPr>
          <w:ilvl w:val="0"/>
          <w:numId w:val="24"/>
        </w:numPr>
        <w:spacing w:before="120" w:after="120" w:line="360" w:lineRule="auto"/>
        <w:ind w:left="0" w:firstLine="273"/>
        <w:jc w:val="both"/>
        <w:rPr>
          <w:rFonts w:ascii="Arial" w:hAnsi="Arial" w:cs="Arial"/>
          <w:sz w:val="20"/>
          <w:szCs w:val="20"/>
        </w:rPr>
      </w:pPr>
      <w:r w:rsidRPr="005C158A">
        <w:rPr>
          <w:rFonts w:ascii="Arial" w:hAnsi="Arial" w:cs="Arial"/>
          <w:sz w:val="20"/>
          <w:szCs w:val="20"/>
        </w:rPr>
        <w:t>Zmiany w art. 23 ust. 3 pkt 2a i 3a oraz art. 30 ust. 5</w:t>
      </w:r>
      <w:r w:rsidR="00EC3354" w:rsidRPr="005C158A">
        <w:rPr>
          <w:rFonts w:ascii="Arial" w:hAnsi="Arial" w:cs="Arial"/>
          <w:sz w:val="20"/>
          <w:szCs w:val="20"/>
        </w:rPr>
        <w:t>-5b</w:t>
      </w:r>
      <w:r w:rsidRPr="005C158A">
        <w:rPr>
          <w:rFonts w:ascii="Arial" w:hAnsi="Arial" w:cs="Arial"/>
          <w:sz w:val="20"/>
          <w:szCs w:val="20"/>
        </w:rPr>
        <w:t xml:space="preserve"> wynikają z potrzeby dostosowania wpisów w CEIDG do zmian w ustawie o zarządzie sukcesyjnym w zakresie instytucji przedłużenia zarządu sukcesyjnego przez sąd.</w:t>
      </w:r>
    </w:p>
    <w:p w14:paraId="33DA2F3E" w14:textId="77777777" w:rsidR="00D7624B" w:rsidRPr="005C158A" w:rsidRDefault="00D7624B" w:rsidP="00DC6DF4">
      <w:pPr>
        <w:pStyle w:val="Akapitzlist"/>
        <w:numPr>
          <w:ilvl w:val="0"/>
          <w:numId w:val="24"/>
        </w:numPr>
        <w:spacing w:before="120" w:after="120" w:line="360" w:lineRule="auto"/>
        <w:ind w:left="0" w:firstLine="273"/>
        <w:jc w:val="both"/>
        <w:rPr>
          <w:rFonts w:ascii="Arial" w:hAnsi="Arial" w:cs="Arial"/>
          <w:sz w:val="20"/>
          <w:szCs w:val="20"/>
        </w:rPr>
      </w:pPr>
      <w:r w:rsidRPr="005C158A">
        <w:rPr>
          <w:rFonts w:ascii="Arial" w:hAnsi="Arial" w:cs="Arial"/>
          <w:sz w:val="20"/>
          <w:szCs w:val="20"/>
        </w:rPr>
        <w:t>Nadanie nowego brzmienia art. 41 związane jest ze zmianą polegającą na dodaniu art. 33 § 5 w Kpa. W konsekwencji przepis ust. 1 staje się zbędny, zaś normie wyrażonej dotąd w ust. 2 konieczne jest nadanie nowego brzmienia.</w:t>
      </w:r>
    </w:p>
    <w:p w14:paraId="2EFF3238" w14:textId="77777777" w:rsidR="00F3131D" w:rsidRPr="005C158A" w:rsidRDefault="00F3131D" w:rsidP="00F3131D">
      <w:pPr>
        <w:pStyle w:val="Nagwek2"/>
        <w:spacing w:before="120" w:after="120" w:line="360" w:lineRule="auto"/>
        <w:jc w:val="both"/>
        <w:rPr>
          <w:rFonts w:ascii="Arial" w:hAnsi="Arial" w:cs="Arial"/>
          <w:color w:val="auto"/>
          <w:sz w:val="20"/>
          <w:szCs w:val="20"/>
        </w:rPr>
      </w:pPr>
      <w:bookmarkStart w:id="92" w:name="_Toc132054023"/>
      <w:bookmarkStart w:id="93" w:name="_Toc138329784"/>
      <w:r w:rsidRPr="005C158A">
        <w:rPr>
          <w:rFonts w:ascii="Arial" w:hAnsi="Arial" w:cs="Arial"/>
          <w:color w:val="auto"/>
          <w:sz w:val="20"/>
          <w:szCs w:val="20"/>
        </w:rPr>
        <w:t>Ustawa z dnia 6 marca 2018 r. – Prawo przedsiębiorców</w:t>
      </w:r>
      <w:bookmarkEnd w:id="92"/>
      <w:bookmarkEnd w:id="93"/>
    </w:p>
    <w:p w14:paraId="0F365E85" w14:textId="77777777" w:rsidR="00F3131D" w:rsidRPr="005C158A" w:rsidRDefault="00F3131D" w:rsidP="00DC6DF4">
      <w:pPr>
        <w:pStyle w:val="Akapitzlist"/>
        <w:numPr>
          <w:ilvl w:val="0"/>
          <w:numId w:val="5"/>
        </w:numPr>
        <w:spacing w:line="360" w:lineRule="auto"/>
        <w:ind w:left="0" w:firstLine="0"/>
        <w:jc w:val="both"/>
        <w:rPr>
          <w:rFonts w:ascii="Arial" w:hAnsi="Arial" w:cs="Arial"/>
          <w:sz w:val="20"/>
          <w:szCs w:val="20"/>
        </w:rPr>
      </w:pPr>
      <w:r w:rsidRPr="005C158A">
        <w:rPr>
          <w:rFonts w:ascii="Arial" w:hAnsi="Arial" w:cs="Arial"/>
          <w:sz w:val="20"/>
          <w:szCs w:val="20"/>
        </w:rPr>
        <w:t xml:space="preserve">Działalność nierejestrowa cudzoziemców. </w:t>
      </w:r>
    </w:p>
    <w:p w14:paraId="53DDBC28" w14:textId="77777777" w:rsidR="009F1264" w:rsidRPr="005C158A" w:rsidRDefault="009F1264" w:rsidP="009F1264">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Obecne brzmienie art. 5 </w:t>
      </w:r>
      <w:proofErr w:type="spellStart"/>
      <w:r w:rsidRPr="005C158A">
        <w:rPr>
          <w:rFonts w:ascii="Arial" w:hAnsi="Arial" w:cs="Arial"/>
          <w:sz w:val="20"/>
          <w:szCs w:val="20"/>
        </w:rPr>
        <w:t>Pp</w:t>
      </w:r>
      <w:proofErr w:type="spellEnd"/>
      <w:r w:rsidRPr="005C158A">
        <w:rPr>
          <w:rFonts w:ascii="Arial" w:hAnsi="Arial" w:cs="Arial"/>
          <w:sz w:val="20"/>
          <w:szCs w:val="20"/>
        </w:rPr>
        <w:t xml:space="preserve"> może budzić wątpliwości interpretacyjne w zakresie stwierdzenia, czy cudzoziemcy będący osobami fizycznymi, o których mowa w ustawie z dnia 6 marca 2018 r. o zasadach uczestnictwa przedsiębiorców zagranicznych i innych osób zagranicznych w obrocie gospodarczym na terytorium RP, mogą wykonywać działalność w ramach tzw. działalności nierejestrowej. Obecnie nie istnieją przepisy, które bezpośrednio odnosiłyby się do tej kwestii. Dodanie ust. 7 do art. 5 </w:t>
      </w:r>
      <w:proofErr w:type="spellStart"/>
      <w:r w:rsidRPr="005C158A">
        <w:rPr>
          <w:rFonts w:ascii="Arial" w:hAnsi="Arial" w:cs="Arial"/>
          <w:sz w:val="20"/>
          <w:szCs w:val="20"/>
        </w:rPr>
        <w:t>Pp</w:t>
      </w:r>
      <w:proofErr w:type="spellEnd"/>
      <w:r w:rsidRPr="005C158A">
        <w:rPr>
          <w:rFonts w:ascii="Arial" w:hAnsi="Arial" w:cs="Arial"/>
          <w:sz w:val="20"/>
          <w:szCs w:val="20"/>
        </w:rPr>
        <w:t xml:space="preserve">, który wprost stanowić będzie o takiej możliwości, ma na celu usunięcie tych wątpliwości interpretacyjnych i przyczynienie się do tego, że cudzoziemcy po spełnieniu przesłanek, o których stanowi </w:t>
      </w:r>
      <w:proofErr w:type="spellStart"/>
      <w:r w:rsidRPr="005C158A">
        <w:rPr>
          <w:rFonts w:ascii="Arial" w:hAnsi="Arial" w:cs="Arial"/>
          <w:sz w:val="20"/>
          <w:szCs w:val="20"/>
        </w:rPr>
        <w:t>Pp</w:t>
      </w:r>
      <w:proofErr w:type="spellEnd"/>
      <w:r w:rsidRPr="005C158A">
        <w:rPr>
          <w:rFonts w:ascii="Arial" w:hAnsi="Arial" w:cs="Arial"/>
          <w:sz w:val="20"/>
          <w:szCs w:val="20"/>
        </w:rPr>
        <w:t>, nie będą pozostawać w tym zakresie w niejasności. Przedmiotowa regulacja odnosić się będzie do cudzoziemców wymienionych w art. 4 ust. 1, 2, 4 i 5 ustawy z dnia 6 marca 2018 r. o zasadach uczestnictwa przedsiębiorców zagranicznych i innych osób zagranicznych w obrocie gospodarczym na terytorium RP, z wyj. osób posiadających zgodę na pobyt ze względów humanitarnych lub zgodę na pobyt tolerowany. Jak bowiem wskazują doświadczenia Straży Granicznej, bardzo ograniczona możliwość weryfikacji faktycznej tożsamości takich osób oraz ich stosunkowo częste konflikty z prawem powodują, że dopuszczenie dla nich uczestnictwa w obrocie gospodarczym w formie, która z samej swojej natury ma charakter mniej sformalizowany, można uznać za wątpliwe. Dodatkowo, a contrario niemożliwe będzie wykonywanie działalności nierejestrowej przez cudzoziemców niewskazanych w ww. przepisie (z wyjątkiem przypadków dotyczących obywateli Ukrainy – zob. proponowane zmiany w ustawie z dnia 12 marca 2022 r. o pomocy obywatelom Ukrainy w związku z konfliktem zbrojnym na terytorium tego państwa). Oprócz względów aksjologicznych, za rozwiązaniem tym przemawia fakt, że osoba wykonująca działalność nierejestrową po przekroczeniu limitu przychodowego obowiązana jest do zarejestrowania swojej działalności w CEIDG. Tym samym, systemowo, do możliwości skorzystania z rozwiązania powinny być dopuszczone jedynie osoby, które rejestracji takiej mogą dokonać, a więc posiadające uprawnienie do podejmowania i wykonywania działalności gospodarczej na takich samych zasadach jak obywatele polscy.</w:t>
      </w:r>
    </w:p>
    <w:p w14:paraId="3B5DCCF7" w14:textId="459A781B" w:rsidR="009F1264" w:rsidRPr="005C158A" w:rsidRDefault="009F1264" w:rsidP="009F1264">
      <w:pPr>
        <w:spacing w:before="120" w:after="120" w:line="360" w:lineRule="auto"/>
        <w:jc w:val="both"/>
        <w:rPr>
          <w:rFonts w:ascii="Arial" w:hAnsi="Arial" w:cs="Arial"/>
          <w:sz w:val="20"/>
          <w:szCs w:val="20"/>
        </w:rPr>
      </w:pPr>
      <w:r w:rsidRPr="005C158A">
        <w:rPr>
          <w:rFonts w:ascii="Arial" w:hAnsi="Arial" w:cs="Arial"/>
          <w:sz w:val="20"/>
          <w:szCs w:val="20"/>
        </w:rPr>
        <w:t>Powyższa zmiana warunkuje także nowelizację ustawy z dnia 12 października 1990 r. o Straży Granicznej (zob. tamże).</w:t>
      </w:r>
    </w:p>
    <w:p w14:paraId="070CB0E2" w14:textId="2F9E0726" w:rsidR="00F3131D" w:rsidRPr="005C158A" w:rsidRDefault="00F3131D" w:rsidP="00DC6DF4">
      <w:pPr>
        <w:pStyle w:val="Akapitzlist"/>
        <w:numPr>
          <w:ilvl w:val="0"/>
          <w:numId w:val="5"/>
        </w:numPr>
        <w:spacing w:line="360" w:lineRule="auto"/>
        <w:ind w:left="0" w:firstLine="0"/>
        <w:jc w:val="both"/>
        <w:rPr>
          <w:rFonts w:ascii="Arial" w:hAnsi="Arial" w:cs="Arial"/>
          <w:sz w:val="20"/>
          <w:szCs w:val="20"/>
        </w:rPr>
      </w:pPr>
      <w:r w:rsidRPr="005C158A">
        <w:rPr>
          <w:rFonts w:ascii="Arial" w:hAnsi="Arial" w:cs="Arial"/>
          <w:sz w:val="20"/>
          <w:szCs w:val="20"/>
        </w:rPr>
        <w:t xml:space="preserve">Zasady prowadzenia działalności gospodarczej przez </w:t>
      </w:r>
      <w:r w:rsidR="000D0784" w:rsidRPr="005C158A">
        <w:rPr>
          <w:rFonts w:ascii="Arial" w:hAnsi="Arial" w:cs="Arial"/>
          <w:sz w:val="20"/>
          <w:szCs w:val="20"/>
        </w:rPr>
        <w:t>osoby posiadające ograniczoną zdolność do czynności prawnych</w:t>
      </w:r>
      <w:r w:rsidRPr="005C158A">
        <w:rPr>
          <w:rFonts w:ascii="Arial" w:hAnsi="Arial" w:cs="Arial"/>
          <w:sz w:val="20"/>
          <w:szCs w:val="20"/>
        </w:rPr>
        <w:t>.</w:t>
      </w:r>
    </w:p>
    <w:p w14:paraId="08770D97" w14:textId="77777777" w:rsidR="000D0784" w:rsidRPr="005C158A" w:rsidRDefault="000D0784" w:rsidP="0011422D">
      <w:pPr>
        <w:spacing w:line="360" w:lineRule="auto"/>
        <w:jc w:val="both"/>
        <w:rPr>
          <w:rFonts w:ascii="Arial" w:hAnsi="Arial" w:cs="Arial"/>
          <w:sz w:val="20"/>
          <w:szCs w:val="20"/>
        </w:rPr>
      </w:pPr>
      <w:r w:rsidRPr="005C158A">
        <w:rPr>
          <w:rFonts w:ascii="Arial" w:hAnsi="Arial" w:cs="Arial"/>
          <w:sz w:val="20"/>
          <w:szCs w:val="20"/>
        </w:rPr>
        <w:t>Proponuje się wyraźnie wskazać, że osoba posiadająca ograniczoną zdolność do czynności prawnych</w:t>
      </w:r>
      <w:r w:rsidRPr="005C158A" w:rsidDel="006B72EA">
        <w:rPr>
          <w:rFonts w:ascii="Arial" w:hAnsi="Arial" w:cs="Arial"/>
          <w:sz w:val="20"/>
          <w:szCs w:val="20"/>
        </w:rPr>
        <w:t xml:space="preserve"> </w:t>
      </w:r>
      <w:r w:rsidRPr="005C158A">
        <w:rPr>
          <w:rFonts w:ascii="Arial" w:hAnsi="Arial" w:cs="Arial"/>
          <w:sz w:val="20"/>
          <w:szCs w:val="20"/>
        </w:rPr>
        <w:t>nie może bez zezwolenia sądu opiekuńczego podjąć działalności gospodarczej, a sąd opiekuńczy może zakazać albo ograniczyć  takiej osobie podjęcie lub wykonywanie działalności gospodarczej.</w:t>
      </w:r>
    </w:p>
    <w:p w14:paraId="5A510144" w14:textId="77777777" w:rsidR="000D0784" w:rsidRPr="005C158A" w:rsidRDefault="000D0784" w:rsidP="0011422D">
      <w:pPr>
        <w:spacing w:line="360" w:lineRule="auto"/>
        <w:jc w:val="both"/>
        <w:rPr>
          <w:rFonts w:ascii="Arial" w:hAnsi="Arial" w:cs="Arial"/>
          <w:sz w:val="20"/>
          <w:szCs w:val="20"/>
        </w:rPr>
      </w:pPr>
      <w:r w:rsidRPr="005C158A">
        <w:rPr>
          <w:rFonts w:ascii="Arial" w:hAnsi="Arial" w:cs="Arial"/>
          <w:sz w:val="20"/>
          <w:szCs w:val="20"/>
        </w:rPr>
        <w:t>Zezwolenie nie będzie konieczne, gdy osoba posiadająca ograniczoną zdolność do czynności prawnych nabędzie przedsiębiorstwo w drodze dziedziczenia, w tym także zapisu windykacyjnego.</w:t>
      </w:r>
    </w:p>
    <w:p w14:paraId="1DFDBF79" w14:textId="77777777" w:rsidR="00F3131D" w:rsidRPr="005C158A" w:rsidRDefault="00F3131D" w:rsidP="00DC6DF4">
      <w:pPr>
        <w:pStyle w:val="Akapitzlist"/>
        <w:numPr>
          <w:ilvl w:val="0"/>
          <w:numId w:val="5"/>
        </w:numPr>
        <w:spacing w:line="360" w:lineRule="auto"/>
        <w:ind w:left="0" w:firstLine="0"/>
        <w:jc w:val="both"/>
        <w:rPr>
          <w:rFonts w:ascii="Arial" w:hAnsi="Arial" w:cs="Arial"/>
          <w:sz w:val="20"/>
          <w:szCs w:val="20"/>
        </w:rPr>
      </w:pPr>
      <w:r w:rsidRPr="005C158A">
        <w:rPr>
          <w:rFonts w:ascii="Arial" w:hAnsi="Arial" w:cs="Arial"/>
          <w:sz w:val="20"/>
          <w:szCs w:val="20"/>
        </w:rPr>
        <w:t xml:space="preserve">Wystąpienie do osoby. </w:t>
      </w:r>
    </w:p>
    <w:p w14:paraId="2AA73596" w14:textId="77777777" w:rsidR="00F3131D" w:rsidRPr="005C158A" w:rsidRDefault="00F3131D" w:rsidP="00F3131D">
      <w:pPr>
        <w:spacing w:line="360" w:lineRule="auto"/>
        <w:jc w:val="both"/>
        <w:rPr>
          <w:rFonts w:ascii="Arial" w:hAnsi="Arial" w:cs="Arial"/>
          <w:sz w:val="20"/>
          <w:szCs w:val="20"/>
        </w:rPr>
      </w:pPr>
      <w:r w:rsidRPr="005C158A">
        <w:rPr>
          <w:rFonts w:ascii="Arial" w:hAnsi="Arial" w:cs="Arial"/>
          <w:sz w:val="20"/>
          <w:szCs w:val="20"/>
        </w:rPr>
        <w:t xml:space="preserve">Na gruncie obowiązujących przepisów urząd nie ma podstawy prawnej do występowania do przedsiębiorców bez wszczynania postępowania. Dla części urzędów stanowi to problem. Często otrzymują one informacje „z drugiej ręki” i, nie posiadając stanowiska zainteresowanego ani rozeznania </w:t>
      </w:r>
      <w:r w:rsidRPr="005C158A">
        <w:rPr>
          <w:rFonts w:ascii="Arial" w:hAnsi="Arial" w:cs="Arial"/>
          <w:sz w:val="20"/>
          <w:szCs w:val="20"/>
        </w:rPr>
        <w:lastRenderedPageBreak/>
        <w:t>w sprawie, niejako muszą zainicjować oficjalną procedurę administracyjną, tak by wyjaśnić jej okoliczności. W praktyce często okazuje się, że sprawa nie wymagała formalnego postępowania, o czym organ nie mógł wiedzieć zawczasu. Organy wnioskują o wprowadzenie mniej formalnych i czasochłonnych procedur komunikacji z zainteresowanymi.</w:t>
      </w:r>
    </w:p>
    <w:p w14:paraId="6BBF90E8" w14:textId="77777777" w:rsidR="00F3131D" w:rsidRPr="005C158A" w:rsidRDefault="00F3131D" w:rsidP="00F3131D">
      <w:pPr>
        <w:spacing w:line="360" w:lineRule="auto"/>
        <w:jc w:val="both"/>
        <w:rPr>
          <w:rFonts w:ascii="Arial" w:hAnsi="Arial" w:cs="Arial"/>
          <w:sz w:val="20"/>
          <w:szCs w:val="20"/>
        </w:rPr>
      </w:pPr>
      <w:r w:rsidRPr="005C158A">
        <w:rPr>
          <w:rFonts w:ascii="Arial" w:hAnsi="Arial" w:cs="Arial"/>
          <w:sz w:val="20"/>
          <w:szCs w:val="20"/>
        </w:rPr>
        <w:t xml:space="preserve">W odpowiedzi na powyższe, proponuje się dodanie nowego narzędzia wzorowanego na art. 49a ustawy o ochronie konkurencji i konsumentów (tzw. "wezwania miękkie"). Na jego podstawie, bez wszczynania postępowania, organ mógłby zwrócić się w zakresie swojej właściwości do przedsiębiorcy o przedstawienie stanowiska. Termin na odpowiedź powinien być nie krótszy niż 14 dni. Byłoby to narządzie całkowicie dobrowolne – organ mógłby, ale nie musiałby, z niego korzystać, zaś adresat – mógłby, ale nie musiałby, odpowiadać na wezwanie. W przypadku skorzystania z proponowanego narzędzia możliwe byłoby natomiast wyjaśnienie sprawy na samym początku, bez wszczynania postępowania. Tym samym, nowy przepis </w:t>
      </w:r>
      <w:r w:rsidRPr="005C158A">
        <w:rPr>
          <w:rFonts w:ascii="Arial" w:hAnsi="Arial" w:cs="Arial"/>
          <w:b/>
          <w:bCs/>
          <w:sz w:val="20"/>
          <w:szCs w:val="20"/>
        </w:rPr>
        <w:t xml:space="preserve">art. 28a </w:t>
      </w:r>
      <w:proofErr w:type="spellStart"/>
      <w:r w:rsidRPr="005C158A">
        <w:rPr>
          <w:rFonts w:ascii="Arial" w:hAnsi="Arial" w:cs="Arial"/>
          <w:b/>
          <w:bCs/>
          <w:sz w:val="20"/>
          <w:szCs w:val="20"/>
        </w:rPr>
        <w:t>Pp</w:t>
      </w:r>
      <w:proofErr w:type="spellEnd"/>
      <w:r w:rsidRPr="005C158A">
        <w:rPr>
          <w:rFonts w:ascii="Arial" w:hAnsi="Arial" w:cs="Arial"/>
          <w:sz w:val="20"/>
          <w:szCs w:val="20"/>
        </w:rPr>
        <w:t xml:space="preserve"> regulowałby tę kwestię. Proponuje się aby wystąpienie organu było jak najbardziej odformalizowane. Organ mógłby występować jedynie w takich sprawach, w których nie jest wymagane wszczęcie postępowania.</w:t>
      </w:r>
    </w:p>
    <w:p w14:paraId="2F27172F" w14:textId="77777777" w:rsidR="00F3131D" w:rsidRPr="005C158A" w:rsidRDefault="00F3131D" w:rsidP="00DC6DF4">
      <w:pPr>
        <w:pStyle w:val="Akapitzlist"/>
        <w:numPr>
          <w:ilvl w:val="0"/>
          <w:numId w:val="5"/>
        </w:numPr>
        <w:spacing w:line="360" w:lineRule="auto"/>
        <w:ind w:left="0" w:firstLine="0"/>
        <w:jc w:val="both"/>
        <w:rPr>
          <w:rFonts w:ascii="Arial" w:hAnsi="Arial" w:cs="Arial"/>
          <w:sz w:val="20"/>
          <w:szCs w:val="20"/>
        </w:rPr>
      </w:pPr>
      <w:r w:rsidRPr="005C158A">
        <w:rPr>
          <w:rFonts w:ascii="Arial" w:hAnsi="Arial" w:cs="Arial"/>
          <w:sz w:val="20"/>
          <w:szCs w:val="20"/>
        </w:rPr>
        <w:t xml:space="preserve">Ograniczenie w stosowaniu pieczątek i dołączania wydruków KRS i CEIDG. </w:t>
      </w:r>
    </w:p>
    <w:p w14:paraId="09B12624"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Obecnie praktycznie nie obowiązują przepisy wymagające od przedsiębiorców posiadania i posługiwania się pieczątkami zarówno w kontaktach biznesowych, jak i w kontaktach z administracją publiczną. Odchodząc od posługiwania się pieczątkami Rada Ministrów przyjęła w 2018 r. dokument pod nazwą „Informacja dotycząca deregulacji obowiązku stosowania pieczęci/pieczątek przez obywateli i przedsiębiorców”. Ministrowie zostali zobowiązani do podjęcia działań zmierzających do zmiany pozostających w zakresie ich właściwości aktów prawnych przewidujących obowiązek stosowania pieczęci lub pieczątek dla uproszczenia procedur. Od tego czasu przyjęto wiele aktów prawa znoszących obowiązek stosowania pieczęci/pieczątek nagłówkowych czy personalnych wymaganych wcześniej przy okazji różnych postępowań administracyjnych. Mogą jednak zdarzyć się sytuacje, że organ domaga się wykorzystania przez przedsiębiorcę pieczątki/pieczęci, pomimo braku formalnej podstawy. </w:t>
      </w:r>
    </w:p>
    <w:p w14:paraId="6C10F22A"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Kolejnym krokiem w procesie deregulacji stosowania pieczątek/pieczęci jest zatem propozycja wprowadzenia </w:t>
      </w:r>
      <w:r w:rsidRPr="005C158A">
        <w:rPr>
          <w:rFonts w:ascii="Arial" w:hAnsi="Arial" w:cs="Arial"/>
          <w:b/>
          <w:bCs/>
          <w:sz w:val="20"/>
          <w:szCs w:val="20"/>
        </w:rPr>
        <w:t>art. 31 ust. 2</w:t>
      </w:r>
      <w:r w:rsidRPr="005C158A">
        <w:rPr>
          <w:rFonts w:ascii="Arial" w:hAnsi="Arial" w:cs="Arial"/>
          <w:sz w:val="20"/>
          <w:szCs w:val="20"/>
        </w:rPr>
        <w:t xml:space="preserve"> </w:t>
      </w:r>
      <w:r w:rsidRPr="005C158A">
        <w:rPr>
          <w:rFonts w:ascii="Arial" w:hAnsi="Arial" w:cs="Arial"/>
          <w:b/>
          <w:bCs/>
          <w:sz w:val="20"/>
          <w:szCs w:val="20"/>
        </w:rPr>
        <w:t>Pp</w:t>
      </w:r>
      <w:r w:rsidRPr="005C158A">
        <w:rPr>
          <w:rFonts w:ascii="Arial" w:hAnsi="Arial" w:cs="Arial"/>
          <w:sz w:val="20"/>
          <w:szCs w:val="20"/>
        </w:rPr>
        <w:t xml:space="preserve">. W projektowanym przepisie wskazuje się, że brak pieczątki nie stanowi braku formalnego pisma lub wniosku ani nie jest powodem, aby stwierdzić, że są one niekompletne. Jednocześnie proponuje się wyjątek od tej zasady, jeżeli przepisy odrębne nakazują stosowanie pieczątki. Oznacza to, że organ administracji nie będzie mógł wymagać i żądać od przedsiębiorcy posługiwania się pieczątką, chyba że istnieje szczególny przepis prawa powszechnie obowiązującego, który wprowadza taki wymóg w konkretnej sprawie. </w:t>
      </w:r>
    </w:p>
    <w:p w14:paraId="61273336"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Z tożsamą sytuacją mamy do czynienia w przypadku braku dołączonego do pisma lub wniosku wydruku komputerowego aktualnych i pełnych informacji o podmiotach wpisanych do Krajowego Rejestru Sądowego oraz zaświadczenia o wpisie do Centralnej Ewidencji i Informacji o Działalności Gospodarczej (w praktyce: wydruku z systemu teleinformatycznego Centralnej Ewidencji i Informacji o Działalności Gospodarczej). Jasne określenie w przepisach prawa, że ich brak nie stanowi braku </w:t>
      </w:r>
      <w:r w:rsidRPr="005C158A">
        <w:rPr>
          <w:rFonts w:ascii="Arial" w:hAnsi="Arial" w:cs="Arial"/>
          <w:sz w:val="20"/>
          <w:szCs w:val="20"/>
        </w:rPr>
        <w:lastRenderedPageBreak/>
        <w:t>formalnego spowoduje, że organy administracji publicznej nie będą mogły wymagać od przedsiębiorcy dołączenia takiego wydruku do pisma lub wniosku (chyba że przepisy szczególne będą taki wymóg stawiały w konkretnej sprawie). Ponadto, przedmiotowa zmiana wpłynie pozytywnie na ograniczenie objętości akt sprawy przechowywanych w formie papierowej oraz przyczyni się do ochrony środowiska naturalnego z uwagi na zmniejszenie ilości zużytego papieru do druku.</w:t>
      </w:r>
    </w:p>
    <w:p w14:paraId="37E4857F" w14:textId="77777777" w:rsidR="00F3131D" w:rsidRPr="005C158A" w:rsidRDefault="00F3131D" w:rsidP="00DC6DF4">
      <w:pPr>
        <w:pStyle w:val="Akapitzlist"/>
        <w:numPr>
          <w:ilvl w:val="0"/>
          <w:numId w:val="5"/>
        </w:numPr>
        <w:spacing w:before="120" w:after="120" w:line="360" w:lineRule="auto"/>
        <w:ind w:left="0" w:firstLine="0"/>
        <w:jc w:val="both"/>
        <w:rPr>
          <w:rFonts w:ascii="Arial" w:hAnsi="Arial" w:cs="Arial"/>
          <w:sz w:val="20"/>
          <w:szCs w:val="20"/>
        </w:rPr>
      </w:pPr>
      <w:r w:rsidRPr="005C158A">
        <w:rPr>
          <w:rFonts w:ascii="Arial" w:hAnsi="Arial" w:cs="Arial"/>
          <w:sz w:val="20"/>
          <w:szCs w:val="20"/>
        </w:rPr>
        <w:t>Plany kontroli oraz analizy prawdopodobieństwa naruszenia prawa.</w:t>
      </w:r>
    </w:p>
    <w:p w14:paraId="18176ECD" w14:textId="77777777" w:rsidR="00BD486B" w:rsidRPr="005C158A" w:rsidRDefault="00BD486B" w:rsidP="00BD486B">
      <w:pPr>
        <w:spacing w:before="120" w:after="120" w:line="360" w:lineRule="auto"/>
        <w:jc w:val="both"/>
        <w:rPr>
          <w:rFonts w:ascii="Arial" w:hAnsi="Arial" w:cs="Arial"/>
          <w:sz w:val="20"/>
          <w:szCs w:val="20"/>
        </w:rPr>
      </w:pPr>
      <w:r w:rsidRPr="005C158A">
        <w:rPr>
          <w:rFonts w:ascii="Arial" w:hAnsi="Arial" w:cs="Arial"/>
          <w:sz w:val="20"/>
          <w:szCs w:val="20"/>
        </w:rPr>
        <w:t xml:space="preserve">Zmiany w zakresie </w:t>
      </w:r>
      <w:r w:rsidRPr="005C158A">
        <w:rPr>
          <w:rFonts w:ascii="Arial" w:hAnsi="Arial" w:cs="Arial"/>
          <w:b/>
          <w:bCs/>
          <w:sz w:val="20"/>
          <w:szCs w:val="20"/>
        </w:rPr>
        <w:t xml:space="preserve">art. 47 </w:t>
      </w:r>
      <w:proofErr w:type="spellStart"/>
      <w:r w:rsidRPr="005C158A">
        <w:rPr>
          <w:rFonts w:ascii="Arial" w:hAnsi="Arial" w:cs="Arial"/>
          <w:b/>
          <w:bCs/>
          <w:sz w:val="20"/>
          <w:szCs w:val="20"/>
        </w:rPr>
        <w:t>Pp</w:t>
      </w:r>
      <w:proofErr w:type="spellEnd"/>
      <w:r w:rsidRPr="005C158A">
        <w:rPr>
          <w:rFonts w:ascii="Arial" w:hAnsi="Arial" w:cs="Arial"/>
          <w:sz w:val="20"/>
          <w:szCs w:val="20"/>
        </w:rPr>
        <w:t xml:space="preserve"> związane są z wprowadzeniem obowiązku publikacji przez organ kontroli okresowego planu kontroli oraz okresowej analizy prawdopodobieństwa naruszenia prawa w ramach wykonywania działalności gospodarczej. Dzięki temu podmioty, które podlegają kontroli, będą mogły sprawdzić zakres realizacji przez ten organ obowiązku okresowego planowania kontroli i przeprowadzania okresowych analiz (do tej pory przepisy art. 47 zakładały jedynie udostępnianie przez organ kontroli ogólnego schematu procedur kontroli, które wynikają z przepisów powszechnie obowiązującego prawa). Powyższy obowiązek nie znajdzie zastosowania do kontroli działalności gospodarczej podlegającej koncesjonowaniu.</w:t>
      </w:r>
    </w:p>
    <w:p w14:paraId="56025C8D" w14:textId="77777777" w:rsidR="00BD486B" w:rsidRPr="005C158A" w:rsidRDefault="00BD486B" w:rsidP="00BD486B">
      <w:pPr>
        <w:spacing w:before="120" w:after="120" w:line="360" w:lineRule="auto"/>
        <w:jc w:val="both"/>
        <w:rPr>
          <w:rFonts w:ascii="Arial" w:hAnsi="Arial" w:cs="Arial"/>
          <w:sz w:val="20"/>
          <w:szCs w:val="20"/>
        </w:rPr>
      </w:pPr>
      <w:r w:rsidRPr="005C158A">
        <w:rPr>
          <w:rFonts w:ascii="Arial" w:hAnsi="Arial" w:cs="Arial"/>
          <w:sz w:val="20"/>
          <w:szCs w:val="20"/>
        </w:rPr>
        <w:t xml:space="preserve">Decyzja organu kontroli o podjęciu kontroli w konkretnym podmiocie powinna być podjęta na podstawie obiektywnych przesłanek i w sposób bezstronny. Dzięki przedmiotowej zmianie przedsiębiorcy będą mieli większą pewność, że organy kontroli rzeczywiście realizują obowiązek związany z przygotowaniem okresowego planu kontroli i analizy oraz są w tym zakresie obiektywne i skrupulatne. Będą mogli oni również upewnić się już po zakończeniu kontroli, czy zostali wytypowani do kontroli na podstawie przeprowadzonej przez organ analizy, czy raczej na podstawie doraźnego podejrzenia powziętego przez organ, np. zagrożenia życia lub zdrowia, na podstawie anonimowego zgłoszenia czy też innych źródeł informacji. Publikacja analiz prawdopodobieństwa naruszenia prawa powinna również ułatwić opinii publicznej, w tym zwłaszcza kontrolowanym, zapoznanie się z wynikami działalności kontrolnej organów kontroli. Obecnie niektóre organy kontroli nie mają obowiązku sporządzania sprawozdania ze swojej działalności kontrolnej i udostępniania go na swojej stronie internetowej, z kolei analiza prawdopodobieństwa naruszenia prawa ze swej istoty uwzględnia doświadczenia organu z dotychczas przeprowadzonych kontroli oraz jej wyniki, w tym np. wnioski o sektorach, w których występuje szczególnie wysokie prawdopodobieństwo naruszeń przepisów prawa. </w:t>
      </w:r>
    </w:p>
    <w:p w14:paraId="33A58243" w14:textId="77777777" w:rsidR="00BD486B" w:rsidRPr="005C158A" w:rsidRDefault="00BD486B" w:rsidP="00BD486B">
      <w:pPr>
        <w:spacing w:before="120" w:after="120" w:line="360" w:lineRule="auto"/>
        <w:jc w:val="both"/>
        <w:rPr>
          <w:rFonts w:ascii="Arial" w:hAnsi="Arial" w:cs="Arial"/>
          <w:sz w:val="20"/>
          <w:szCs w:val="20"/>
        </w:rPr>
      </w:pPr>
      <w:bookmarkStart w:id="94" w:name="_Hlk136868470"/>
      <w:r w:rsidRPr="005C158A">
        <w:rPr>
          <w:rFonts w:ascii="Arial" w:hAnsi="Arial" w:cs="Arial"/>
          <w:sz w:val="20"/>
          <w:szCs w:val="20"/>
        </w:rPr>
        <w:t xml:space="preserve">Alternatywne do proponowanego rozwiązanie, które upowszechniłoby wiedzę o zasadach działania organów kontroli, mogłoby zakładać wprowadzenie obowiązku sporządzania i publikowania przez wszystkie organy kontroli corocznych sprawozdań o ich działalności kontrolnej, jej wynikach i płynących z niej wnioskach. Byłby to jednak dla wielu organów kontroli nowy obowiązek, i to bardziej uciążliwy niż sama publikacja sporządzanych już na postawie obowiązujących przepisów planów i analiz. </w:t>
      </w:r>
    </w:p>
    <w:bookmarkEnd w:id="94"/>
    <w:p w14:paraId="6F831389" w14:textId="77777777" w:rsidR="00BD486B" w:rsidRPr="005C158A" w:rsidRDefault="00BD486B" w:rsidP="00BD486B">
      <w:pPr>
        <w:spacing w:before="120" w:after="120" w:line="360" w:lineRule="auto"/>
        <w:jc w:val="both"/>
        <w:rPr>
          <w:rFonts w:ascii="Arial" w:hAnsi="Arial" w:cs="Arial"/>
          <w:sz w:val="20"/>
          <w:szCs w:val="20"/>
        </w:rPr>
      </w:pPr>
      <w:r w:rsidRPr="005C158A">
        <w:rPr>
          <w:rFonts w:ascii="Arial" w:hAnsi="Arial" w:cs="Arial"/>
          <w:sz w:val="20"/>
          <w:szCs w:val="20"/>
        </w:rPr>
        <w:t xml:space="preserve">Obowiązek udostępnienia okresowego planu kontroli oraz okresowej analizy powinien zostać zrealizowany w terminie 3 miesięcy od dnia zakończenia okresu objętego planem lub okresu objętego analizą. Przykładowo, jeśli w danym organie kontroli powstał „Plan kontroli w 2023 r.”, obejmujący okres od 1 stycznia 2023 r. do 31 grudnia 2023 r., wówczas zakończenie okresu objętego planem przypada z upływem 31 grudnia 2023 r. i zaraz potem rozpoczyna się trzymiesięczny termin na udostępnienie okresowego planu kontroli. Udostępnienie okresowego planu kontroli nastąpi zatem już po zakończeniu </w:t>
      </w:r>
      <w:r w:rsidRPr="005C158A">
        <w:rPr>
          <w:rFonts w:ascii="Arial" w:hAnsi="Arial" w:cs="Arial"/>
          <w:sz w:val="20"/>
          <w:szCs w:val="20"/>
        </w:rPr>
        <w:lastRenderedPageBreak/>
        <w:t>jego realizacji i pozostanie bez wpływu na zakończone już kontrole, a zatem nie wpłynie negatywnie na realizację zadań przez organ kontroli.</w:t>
      </w:r>
    </w:p>
    <w:p w14:paraId="12916EC0" w14:textId="77777777" w:rsidR="00BD486B" w:rsidRPr="005C158A" w:rsidRDefault="00BD486B" w:rsidP="00BD486B">
      <w:pPr>
        <w:spacing w:before="120" w:after="120" w:line="360" w:lineRule="auto"/>
        <w:jc w:val="both"/>
        <w:rPr>
          <w:rFonts w:ascii="Arial" w:hAnsi="Arial" w:cs="Arial"/>
          <w:sz w:val="20"/>
          <w:szCs w:val="20"/>
        </w:rPr>
      </w:pPr>
      <w:r w:rsidRPr="005C158A">
        <w:rPr>
          <w:rFonts w:ascii="Arial" w:hAnsi="Arial" w:cs="Arial"/>
          <w:sz w:val="20"/>
          <w:szCs w:val="20"/>
        </w:rPr>
        <w:t xml:space="preserve">Podkreślenia wymaga, że udostępniony okresowy plan kontroli oraz okresowa analiza </w:t>
      </w:r>
      <w:bookmarkStart w:id="95" w:name="_Hlk136868877"/>
      <w:r w:rsidRPr="005C158A">
        <w:rPr>
          <w:rFonts w:ascii="Arial" w:hAnsi="Arial" w:cs="Arial"/>
          <w:sz w:val="20"/>
          <w:szCs w:val="20"/>
        </w:rPr>
        <w:t xml:space="preserve">będą mieć charakter </w:t>
      </w:r>
      <w:proofErr w:type="spellStart"/>
      <w:r w:rsidRPr="005C158A">
        <w:rPr>
          <w:rFonts w:ascii="Arial" w:hAnsi="Arial" w:cs="Arial"/>
          <w:sz w:val="20"/>
          <w:szCs w:val="20"/>
        </w:rPr>
        <w:t>informacyjno</w:t>
      </w:r>
      <w:proofErr w:type="spellEnd"/>
      <w:r w:rsidRPr="005C158A">
        <w:rPr>
          <w:rFonts w:ascii="Arial" w:hAnsi="Arial" w:cs="Arial"/>
          <w:sz w:val="20"/>
          <w:szCs w:val="20"/>
        </w:rPr>
        <w:t>–poglądowy</w:t>
      </w:r>
      <w:bookmarkEnd w:id="95"/>
      <w:r w:rsidRPr="005C158A">
        <w:rPr>
          <w:rFonts w:ascii="Arial" w:hAnsi="Arial" w:cs="Arial"/>
          <w:sz w:val="20"/>
          <w:szCs w:val="20"/>
        </w:rPr>
        <w:t>. Nie będą mogły stanowić przesłanki do podważania przez przedsiębiorców np. zasadności kontroli i inspekcji, czy podważania ustaleń związanych z kontrolą bądź inspekcją.</w:t>
      </w:r>
    </w:p>
    <w:p w14:paraId="70527884" w14:textId="77777777" w:rsidR="00BD486B" w:rsidRPr="005C158A" w:rsidRDefault="00BD486B" w:rsidP="00BD486B">
      <w:pPr>
        <w:spacing w:before="120" w:after="120" w:line="360" w:lineRule="auto"/>
        <w:jc w:val="both"/>
        <w:rPr>
          <w:rFonts w:ascii="Arial" w:hAnsi="Arial" w:cs="Arial"/>
          <w:sz w:val="20"/>
          <w:szCs w:val="20"/>
        </w:rPr>
      </w:pPr>
      <w:r w:rsidRPr="005C158A">
        <w:rPr>
          <w:rFonts w:ascii="Arial" w:hAnsi="Arial" w:cs="Arial"/>
          <w:sz w:val="20"/>
          <w:szCs w:val="20"/>
        </w:rPr>
        <w:t>Z udostępnianego okresowego planu kontroli oraz okresowej analizy zostaną wyłączone informacje niejawne lub inne informacje stanowiące tajemnicę prawnie chronioną. Zakres udostępnianych informacji będzie podlegał ograniczeniu również ze względu na prywatność osoby fizycznej lub tajemnicę przedsiębiorcy.</w:t>
      </w:r>
    </w:p>
    <w:p w14:paraId="26E645B5" w14:textId="77777777" w:rsidR="00BD486B" w:rsidRPr="005C158A" w:rsidRDefault="00BD486B" w:rsidP="00DC6DF4">
      <w:pPr>
        <w:pStyle w:val="Akapitzlist"/>
        <w:numPr>
          <w:ilvl w:val="0"/>
          <w:numId w:val="5"/>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Wstępna lista dokumentów i informacji do przygotowania i przedstawienia przez kontrolowanego podczas kontroli. </w:t>
      </w:r>
    </w:p>
    <w:p w14:paraId="6B0CFE01" w14:textId="77777777" w:rsidR="00BD486B" w:rsidRPr="005C158A" w:rsidRDefault="00BD486B" w:rsidP="00BD486B">
      <w:pPr>
        <w:spacing w:before="120" w:after="120" w:line="360" w:lineRule="auto"/>
        <w:jc w:val="both"/>
        <w:rPr>
          <w:rFonts w:ascii="Arial" w:hAnsi="Arial" w:cs="Arial"/>
          <w:sz w:val="20"/>
          <w:szCs w:val="20"/>
        </w:rPr>
      </w:pPr>
      <w:r w:rsidRPr="005C158A">
        <w:rPr>
          <w:rFonts w:ascii="Arial" w:hAnsi="Arial" w:cs="Arial"/>
          <w:sz w:val="20"/>
          <w:szCs w:val="20"/>
        </w:rPr>
        <w:t xml:space="preserve">Obecne brzmienie </w:t>
      </w:r>
      <w:r w:rsidRPr="005C158A">
        <w:rPr>
          <w:rFonts w:ascii="Arial" w:hAnsi="Arial" w:cs="Arial"/>
          <w:b/>
          <w:bCs/>
          <w:sz w:val="20"/>
          <w:szCs w:val="20"/>
        </w:rPr>
        <w:t xml:space="preserve">art. 48 </w:t>
      </w:r>
      <w:proofErr w:type="spellStart"/>
      <w:r w:rsidRPr="005C158A">
        <w:rPr>
          <w:rFonts w:ascii="Arial" w:hAnsi="Arial" w:cs="Arial"/>
          <w:b/>
          <w:bCs/>
          <w:sz w:val="20"/>
          <w:szCs w:val="20"/>
        </w:rPr>
        <w:t>Pp</w:t>
      </w:r>
      <w:proofErr w:type="spellEnd"/>
      <w:r w:rsidRPr="005C158A">
        <w:rPr>
          <w:rFonts w:ascii="Arial" w:hAnsi="Arial" w:cs="Arial"/>
          <w:sz w:val="20"/>
          <w:szCs w:val="20"/>
        </w:rPr>
        <w:t xml:space="preserve"> nie zawiera regulacji, z których wynikałby wprost obowiązek określenia przez organ dokumentów i informacji, których przedstawienia może żądać w trakcie kontroli. Zaproponowana zmiana ma na celu ułatwienie przedsiębiorcy przygotowania się do kontroli poprzez uprzednie przedstawienie mu, najpóźniej wraz z doręczeniem zawiadomienia, wstępnej listy dokumentów i informacji związanych z zakresem przedmiotowym kontroli, których udostępnienia oczekuje organ kontroli w trakcie kontroli. Dzięki temu kontrola przebiegać powinna szybciej i sprawniej, co stanowić będzie korzyść zarówno dla samego przedsiębiorcy, jak i kontrolującego. Warto jednocześnie zaznaczyć, że wskazana przez organ lista nie będzie miała charakteru zamkniętego ani wyczerpującego. W trakcie prowadzonej kontroli organ będzie mógł zażądać od przedsiębiorcy przedstawienia dokumentów i informacji innych niż te, które wymienił w zawiadomieniu o przeprowadzeniu kontroli, w szczególności jeżeli jej przebieg wskazywać będzie na taką konieczność. O takim obowiązku przedsiębiorca powinien zostać poinformowany w upoważnieniu do przeprowadzenia kontroli (zgodnie z art. 49 ust. 7 pkt 9 Prawa przedsiębiorców zawiera pouczenie o prawach i obowiązkach przedsiębiorcy, w tym wynikających z dodawanego ust. 12).</w:t>
      </w:r>
    </w:p>
    <w:p w14:paraId="31A6AF8C" w14:textId="77777777" w:rsidR="00F3131D" w:rsidRPr="005C158A" w:rsidRDefault="00F3131D" w:rsidP="00DC6DF4">
      <w:pPr>
        <w:pStyle w:val="Akapitzlist"/>
        <w:numPr>
          <w:ilvl w:val="0"/>
          <w:numId w:val="5"/>
        </w:numPr>
        <w:spacing w:before="120" w:after="120" w:line="360" w:lineRule="auto"/>
        <w:ind w:left="0" w:firstLine="0"/>
        <w:jc w:val="both"/>
        <w:rPr>
          <w:rFonts w:ascii="Arial" w:hAnsi="Arial" w:cs="Arial"/>
          <w:sz w:val="20"/>
          <w:szCs w:val="20"/>
        </w:rPr>
      </w:pPr>
      <w:r w:rsidRPr="005C158A">
        <w:rPr>
          <w:rFonts w:ascii="Arial" w:hAnsi="Arial" w:cs="Arial"/>
          <w:sz w:val="20"/>
          <w:szCs w:val="20"/>
        </w:rPr>
        <w:t>Sprzeciw wobec czynności kontrolnych.</w:t>
      </w:r>
    </w:p>
    <w:p w14:paraId="62A96825" w14:textId="77777777" w:rsidR="00F3131D" w:rsidRPr="005C158A" w:rsidRDefault="00F3131D" w:rsidP="00F3131D">
      <w:pPr>
        <w:pStyle w:val="Akapitzlist"/>
        <w:spacing w:before="120" w:after="120" w:line="360" w:lineRule="auto"/>
        <w:ind w:left="0"/>
        <w:jc w:val="both"/>
        <w:rPr>
          <w:rFonts w:ascii="Arial" w:hAnsi="Arial" w:cs="Arial"/>
          <w:sz w:val="20"/>
          <w:szCs w:val="20"/>
        </w:rPr>
      </w:pPr>
      <w:r w:rsidRPr="005C158A">
        <w:rPr>
          <w:rFonts w:ascii="Arial" w:hAnsi="Arial" w:cs="Arial"/>
          <w:sz w:val="20"/>
          <w:szCs w:val="20"/>
        </w:rPr>
        <w:t xml:space="preserve">Zmiana w zakresie </w:t>
      </w:r>
      <w:r w:rsidRPr="005C158A">
        <w:rPr>
          <w:rFonts w:ascii="Arial" w:hAnsi="Arial" w:cs="Arial"/>
          <w:b/>
          <w:bCs/>
          <w:sz w:val="20"/>
          <w:szCs w:val="20"/>
        </w:rPr>
        <w:t xml:space="preserve">art. 59 </w:t>
      </w:r>
      <w:proofErr w:type="spellStart"/>
      <w:r w:rsidRPr="005C158A">
        <w:rPr>
          <w:rFonts w:ascii="Arial" w:hAnsi="Arial" w:cs="Arial"/>
          <w:b/>
          <w:bCs/>
          <w:sz w:val="20"/>
          <w:szCs w:val="20"/>
        </w:rPr>
        <w:t>Pp</w:t>
      </w:r>
      <w:proofErr w:type="spellEnd"/>
      <w:r w:rsidRPr="005C158A">
        <w:rPr>
          <w:rFonts w:ascii="Arial" w:hAnsi="Arial" w:cs="Arial"/>
          <w:sz w:val="20"/>
          <w:szCs w:val="20"/>
        </w:rPr>
        <w:t xml:space="preserve"> ma na celu umożliwienie wniesienia sprzeciwu wobec czynności kontrolnych bez jednoczesnego wstrzymania czynności kontrolnych, w przypadku gdy organ przeprowadzając kontrolę powołuje się na wyłączenia ograniczeń kontroli działalności gospodarczej. Propozycja umożliwi np. wydanie postanowienia o odstąpieniu od czynności kontrolnych, gdy kontrola trwa zbyt długo lub nie ma w rzeczywistości na celu przeciwdziałania popełnieniu czynu zabronionego. Samo powołanie się przez organ na przepisy art. 48 ust. 11 pkt 2, art. 50 ust. 2 pkt 2, art. 54 ust. 1 pkt 2, art. 55 ust. 2 pkt 2 oraz art. 62 </w:t>
      </w:r>
      <w:proofErr w:type="spellStart"/>
      <w:r w:rsidRPr="005C158A">
        <w:rPr>
          <w:rFonts w:ascii="Arial" w:hAnsi="Arial" w:cs="Arial"/>
          <w:sz w:val="20"/>
          <w:szCs w:val="20"/>
        </w:rPr>
        <w:t>Pp</w:t>
      </w:r>
      <w:proofErr w:type="spellEnd"/>
      <w:r w:rsidRPr="005C158A">
        <w:rPr>
          <w:rFonts w:ascii="Arial" w:hAnsi="Arial" w:cs="Arial"/>
          <w:sz w:val="20"/>
          <w:szCs w:val="20"/>
        </w:rPr>
        <w:t xml:space="preserve"> nie pozbawi już kontrolowanego, jak dotąd, możliwości wniesienia sprzeciwu, a więc środka prawnego umożliwiającego weryfikację, czy przesłanki wyłączenia niektórych zasad kontroli zostały spełnione, a w przypadku odpowiedzi negatywnej również sprawdzenia, czy przepisy te zostały naruszone. Oznacza to, że w takim przypadku organ będzie ewentualnie obowiązany wykazać zasadność zastosowania przez siebie przesłanek wyłączających. W dalszej kolejności </w:t>
      </w:r>
      <w:r w:rsidRPr="005C158A">
        <w:rPr>
          <w:rFonts w:ascii="Arial" w:hAnsi="Arial" w:cs="Arial"/>
          <w:sz w:val="20"/>
          <w:szCs w:val="20"/>
        </w:rPr>
        <w:lastRenderedPageBreak/>
        <w:t>rozpatrzenie sprzeciwu może otworzyć przedsiębiorcy drogę do wniesienia skargi na przewlekłe prowadzenie kontroli na podstawie art. 59 ust. 14 Pp.</w:t>
      </w:r>
    </w:p>
    <w:p w14:paraId="180D4EED" w14:textId="77777777" w:rsidR="00F3131D" w:rsidRPr="005C158A" w:rsidRDefault="00F3131D" w:rsidP="00DC6DF4">
      <w:pPr>
        <w:pStyle w:val="Akapitzlist"/>
        <w:numPr>
          <w:ilvl w:val="0"/>
          <w:numId w:val="5"/>
        </w:numPr>
        <w:spacing w:before="120" w:after="120" w:line="360" w:lineRule="auto"/>
        <w:ind w:left="0" w:firstLine="0"/>
        <w:jc w:val="both"/>
        <w:rPr>
          <w:rFonts w:ascii="Arial" w:hAnsi="Arial" w:cs="Arial"/>
          <w:sz w:val="20"/>
          <w:szCs w:val="20"/>
        </w:rPr>
      </w:pPr>
      <w:r w:rsidRPr="005C158A">
        <w:rPr>
          <w:rFonts w:ascii="Arial" w:hAnsi="Arial" w:cs="Arial"/>
          <w:sz w:val="20"/>
          <w:szCs w:val="20"/>
        </w:rPr>
        <w:t>Prawo gospodarcze przyjazne przedsiębiorcom.</w:t>
      </w:r>
    </w:p>
    <w:p w14:paraId="51999AC3"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Konieczność nowelizacji </w:t>
      </w:r>
      <w:proofErr w:type="spellStart"/>
      <w:r w:rsidRPr="005C158A">
        <w:rPr>
          <w:rFonts w:ascii="Arial" w:hAnsi="Arial" w:cs="Arial"/>
          <w:sz w:val="20"/>
          <w:szCs w:val="20"/>
        </w:rPr>
        <w:t>Pp</w:t>
      </w:r>
      <w:proofErr w:type="spellEnd"/>
      <w:r w:rsidRPr="005C158A">
        <w:rPr>
          <w:rFonts w:ascii="Arial" w:hAnsi="Arial" w:cs="Arial"/>
          <w:sz w:val="20"/>
          <w:szCs w:val="20"/>
        </w:rPr>
        <w:t xml:space="preserve"> w zakresie wprowadzenia ogólnych zasad przyjaznych przedsiębiorcom wynika z wyników oceny funkcjonowania ustaw pakietu tzw. Konstytucji biznesu, w tym doświadczeń płynących z czteroletniego obowiązywania obecnych przepisów w zakresie dokonywania przeglądu funkcjonowania aktów normatywnych określających zasady podejmowania, wykonywania lub zakończenia działalności gospodarczej.</w:t>
      </w:r>
    </w:p>
    <w:p w14:paraId="0CD2FB51"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Proponowana nowelizacja rozdziału 6 </w:t>
      </w:r>
      <w:proofErr w:type="spellStart"/>
      <w:r w:rsidRPr="005C158A">
        <w:rPr>
          <w:rFonts w:ascii="Arial" w:hAnsi="Arial" w:cs="Arial"/>
          <w:sz w:val="20"/>
          <w:szCs w:val="20"/>
        </w:rPr>
        <w:t>Pp</w:t>
      </w:r>
      <w:proofErr w:type="spellEnd"/>
      <w:r w:rsidRPr="005C158A">
        <w:rPr>
          <w:rFonts w:ascii="Arial" w:hAnsi="Arial" w:cs="Arial"/>
          <w:sz w:val="20"/>
          <w:szCs w:val="20"/>
        </w:rPr>
        <w:t xml:space="preserve"> przewiduje: </w:t>
      </w:r>
    </w:p>
    <w:p w14:paraId="1500090D" w14:textId="77777777" w:rsidR="00F3131D" w:rsidRPr="005C158A" w:rsidRDefault="00F3131D" w:rsidP="00DC6DF4">
      <w:pPr>
        <w:pStyle w:val="Akapitzlist"/>
        <w:numPr>
          <w:ilvl w:val="0"/>
          <w:numId w:val="6"/>
        </w:numPr>
        <w:tabs>
          <w:tab w:val="left" w:pos="567"/>
        </w:tabs>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wprowadzenie </w:t>
      </w:r>
      <w:r w:rsidRPr="005C158A">
        <w:rPr>
          <w:rFonts w:ascii="Arial" w:hAnsi="Arial" w:cs="Arial"/>
          <w:b/>
          <w:bCs/>
          <w:sz w:val="20"/>
          <w:szCs w:val="20"/>
        </w:rPr>
        <w:t>zasady równoważenia obowiązków administracyjnych</w:t>
      </w:r>
      <w:r w:rsidRPr="005C158A">
        <w:rPr>
          <w:rFonts w:ascii="Arial" w:hAnsi="Arial" w:cs="Arial"/>
          <w:sz w:val="20"/>
          <w:szCs w:val="20"/>
        </w:rPr>
        <w:t xml:space="preserve"> (opartej na koncepcji realizowanej w wielu krajach europejskich tzw. „one in, one out”),</w:t>
      </w:r>
    </w:p>
    <w:p w14:paraId="3D67FB29" w14:textId="77777777" w:rsidR="00F3131D" w:rsidRPr="005C158A" w:rsidRDefault="00F3131D" w:rsidP="00DC6DF4">
      <w:pPr>
        <w:pStyle w:val="Akapitzlist"/>
        <w:numPr>
          <w:ilvl w:val="0"/>
          <w:numId w:val="6"/>
        </w:numPr>
        <w:tabs>
          <w:tab w:val="left" w:pos="567"/>
        </w:tabs>
        <w:spacing w:before="120" w:after="120" w:line="360" w:lineRule="auto"/>
        <w:ind w:left="0" w:firstLine="0"/>
        <w:jc w:val="both"/>
        <w:rPr>
          <w:rFonts w:ascii="Arial" w:hAnsi="Arial" w:cs="Arial"/>
          <w:color w:val="000000"/>
          <w:sz w:val="20"/>
          <w:szCs w:val="20"/>
        </w:rPr>
      </w:pPr>
      <w:r w:rsidRPr="005C158A">
        <w:rPr>
          <w:rFonts w:ascii="Arial" w:hAnsi="Arial" w:cs="Arial"/>
          <w:color w:val="000000"/>
          <w:sz w:val="20"/>
          <w:szCs w:val="20"/>
        </w:rPr>
        <w:t xml:space="preserve">wprowadzenie </w:t>
      </w:r>
      <w:r w:rsidRPr="005C158A">
        <w:rPr>
          <w:rFonts w:ascii="Arial" w:hAnsi="Arial" w:cs="Arial"/>
          <w:b/>
          <w:bCs/>
          <w:color w:val="000000"/>
          <w:sz w:val="20"/>
          <w:szCs w:val="20"/>
        </w:rPr>
        <w:t>zasady projektowania oceny funkcjonowania aktu normatywnego</w:t>
      </w:r>
      <w:r w:rsidRPr="005C158A">
        <w:rPr>
          <w:rFonts w:ascii="Arial" w:hAnsi="Arial" w:cs="Arial"/>
          <w:color w:val="000000"/>
          <w:sz w:val="20"/>
          <w:szCs w:val="20"/>
        </w:rPr>
        <w:t xml:space="preserve"> (OSR ex post) w stosunku do aktów normatywnych z zakresu prawa gospodarczego,</w:t>
      </w:r>
    </w:p>
    <w:p w14:paraId="591B19A7" w14:textId="77777777" w:rsidR="00F3131D" w:rsidRPr="005C158A" w:rsidRDefault="00F3131D" w:rsidP="00DC6DF4">
      <w:pPr>
        <w:pStyle w:val="Akapitzlist"/>
        <w:numPr>
          <w:ilvl w:val="0"/>
          <w:numId w:val="6"/>
        </w:numPr>
        <w:tabs>
          <w:tab w:val="left" w:pos="567"/>
        </w:tabs>
        <w:spacing w:before="120" w:after="120" w:line="360" w:lineRule="auto"/>
        <w:ind w:left="0" w:firstLine="0"/>
        <w:jc w:val="both"/>
        <w:rPr>
          <w:rFonts w:ascii="Arial" w:hAnsi="Arial" w:cs="Arial"/>
          <w:color w:val="000000"/>
          <w:sz w:val="20"/>
          <w:szCs w:val="20"/>
        </w:rPr>
      </w:pPr>
      <w:r w:rsidRPr="005C158A">
        <w:rPr>
          <w:rFonts w:ascii="Arial" w:hAnsi="Arial" w:cs="Arial"/>
          <w:color w:val="000000"/>
          <w:sz w:val="20"/>
          <w:szCs w:val="20"/>
        </w:rPr>
        <w:t xml:space="preserve">wprowadzenie </w:t>
      </w:r>
      <w:r w:rsidRPr="005C158A">
        <w:rPr>
          <w:rFonts w:ascii="Arial" w:hAnsi="Arial" w:cs="Arial"/>
          <w:b/>
          <w:bCs/>
          <w:color w:val="000000"/>
          <w:sz w:val="20"/>
          <w:szCs w:val="20"/>
        </w:rPr>
        <w:t>zasady oceny projektu pod kątem notyfikacji usługowej</w:t>
      </w:r>
      <w:r w:rsidRPr="005C158A">
        <w:rPr>
          <w:rFonts w:ascii="Arial" w:hAnsi="Arial" w:cs="Arial"/>
          <w:color w:val="000000"/>
          <w:sz w:val="20"/>
          <w:szCs w:val="20"/>
        </w:rPr>
        <w:t>,</w:t>
      </w:r>
    </w:p>
    <w:p w14:paraId="7FB3F9A0" w14:textId="77777777" w:rsidR="00F3131D" w:rsidRPr="005C158A" w:rsidRDefault="00F3131D" w:rsidP="00DC6DF4">
      <w:pPr>
        <w:pStyle w:val="Akapitzlist"/>
        <w:numPr>
          <w:ilvl w:val="0"/>
          <w:numId w:val="6"/>
        </w:numPr>
        <w:tabs>
          <w:tab w:val="left" w:pos="567"/>
        </w:tabs>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wprowadzenie </w:t>
      </w:r>
      <w:r w:rsidRPr="005C158A">
        <w:rPr>
          <w:rFonts w:ascii="Arial" w:hAnsi="Arial" w:cs="Arial"/>
          <w:b/>
          <w:bCs/>
          <w:sz w:val="20"/>
          <w:szCs w:val="20"/>
        </w:rPr>
        <w:t>zasady obowiązkowej oceny skutków regulacji ex post</w:t>
      </w:r>
      <w:r w:rsidRPr="005C158A">
        <w:rPr>
          <w:rFonts w:ascii="Arial" w:hAnsi="Arial" w:cs="Arial"/>
          <w:sz w:val="20"/>
          <w:szCs w:val="20"/>
        </w:rPr>
        <w:t>, wedle której ocenę funkcjonowania aktu normatywnego (OSR ex post) przeprowadza się obowiązkowo w sytuacji, gdy dany akt normatywny został przyjęty w wyniku rządowego procesu legislacyjnego, w którym odstąpiono od przeprowadzenia konsultacji publicznych,</w:t>
      </w:r>
    </w:p>
    <w:p w14:paraId="367C66C9" w14:textId="04108D41" w:rsidR="00F3131D" w:rsidRPr="005C158A" w:rsidRDefault="00F3131D" w:rsidP="00DC6DF4">
      <w:pPr>
        <w:pStyle w:val="Akapitzlist"/>
        <w:numPr>
          <w:ilvl w:val="0"/>
          <w:numId w:val="6"/>
        </w:numPr>
        <w:tabs>
          <w:tab w:val="left" w:pos="567"/>
        </w:tabs>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wprowadzenie </w:t>
      </w:r>
      <w:r w:rsidRPr="005C158A">
        <w:rPr>
          <w:rFonts w:ascii="Arial" w:hAnsi="Arial" w:cs="Arial"/>
          <w:b/>
          <w:bCs/>
          <w:sz w:val="20"/>
          <w:szCs w:val="20"/>
        </w:rPr>
        <w:t>zasady</w:t>
      </w:r>
      <w:r w:rsidR="00451AB8" w:rsidRPr="005C158A">
        <w:rPr>
          <w:rFonts w:ascii="Arial" w:hAnsi="Arial" w:cs="Arial"/>
          <w:b/>
          <w:bCs/>
          <w:sz w:val="20"/>
          <w:szCs w:val="20"/>
        </w:rPr>
        <w:t xml:space="preserve"> odpowiedniego vacatio legis projektów ustaw, </w:t>
      </w:r>
      <w:r w:rsidR="00451AB8" w:rsidRPr="005C158A">
        <w:rPr>
          <w:rFonts w:ascii="Arial" w:hAnsi="Arial" w:cs="Arial"/>
          <w:sz w:val="20"/>
          <w:szCs w:val="20"/>
        </w:rPr>
        <w:t>nie krótszego niż miesiąc od dnia ogłoszenia.</w:t>
      </w:r>
    </w:p>
    <w:p w14:paraId="5D800A01"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Projekt przewiduje modyfikacje dotychczasowych przepisów związanych z obowiązkiem przedkładania Radzie Ministrów informacji na temat działań podejmowanych przez ministrów kierujących działami administracji rządowej w wyniku bieżącego przeglądu funkcjonowania aktów normatywnych określających zasady podejmowania, wykonywania lub zakończenia działalności gospodarczej. Zmiany w tym zakresie obejmują doprecyzowanie kategorii informacji, które powinny zostać przekazane Radzie Ministrów w wykonaniu obowiązku określonego w art. 70 </w:t>
      </w:r>
      <w:proofErr w:type="spellStart"/>
      <w:r w:rsidRPr="005C158A">
        <w:rPr>
          <w:rFonts w:ascii="Arial" w:hAnsi="Arial" w:cs="Arial"/>
          <w:sz w:val="20"/>
          <w:szCs w:val="20"/>
        </w:rPr>
        <w:t>Pp</w:t>
      </w:r>
      <w:proofErr w:type="spellEnd"/>
      <w:r w:rsidRPr="005C158A">
        <w:rPr>
          <w:rFonts w:ascii="Arial" w:hAnsi="Arial" w:cs="Arial"/>
          <w:sz w:val="20"/>
          <w:szCs w:val="20"/>
        </w:rPr>
        <w:t xml:space="preserve">, a także stworzenie mechanizmu pozwalającego na publikację w Biuletynie Informacji Publicznej wzoru formularza takiej informacji. Proponuje się jednocześnie, by przedłożone Radzie Ministrów informacje były udostępniane Radzie Dialogu Społecznego, Radzie Legislacyjnej, Radzie Pożytku Publicznego oraz Rzecznikowi Małych i Średnich Przedsiębiorców w celu umożliwienia tym podmiotom wyrażenia stanowiska lub opinii. </w:t>
      </w:r>
    </w:p>
    <w:p w14:paraId="140CB22A" w14:textId="77777777" w:rsidR="00F3131D" w:rsidRPr="005C158A" w:rsidRDefault="00F3131D" w:rsidP="00DC6DF4">
      <w:pPr>
        <w:pStyle w:val="Akapitzlist"/>
        <w:numPr>
          <w:ilvl w:val="0"/>
          <w:numId w:val="7"/>
        </w:numPr>
        <w:spacing w:before="120" w:after="120" w:line="360" w:lineRule="auto"/>
        <w:ind w:left="0" w:firstLine="0"/>
        <w:jc w:val="both"/>
        <w:rPr>
          <w:rFonts w:ascii="Arial" w:hAnsi="Arial" w:cs="Arial"/>
          <w:sz w:val="20"/>
          <w:szCs w:val="20"/>
        </w:rPr>
      </w:pPr>
      <w:r w:rsidRPr="005C158A">
        <w:rPr>
          <w:rFonts w:ascii="Arial" w:hAnsi="Arial" w:cs="Arial"/>
          <w:sz w:val="20"/>
          <w:szCs w:val="20"/>
        </w:rPr>
        <w:t>zasada równoważenia obowiązków administracyjnych.</w:t>
      </w:r>
    </w:p>
    <w:p w14:paraId="461BBB04" w14:textId="2372981F"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W art. 67 proponuje się wskazanie konieczności kierowania się zasadą równoważenia obowiązków administracyjnych podczas opracowywania projektów aktów normatywnych określających zasady podejmowania, wykonywania lub zakończenia działalności gospodarczej. </w:t>
      </w:r>
      <w:r w:rsidR="002525C2" w:rsidRPr="005C158A">
        <w:rPr>
          <w:rFonts w:ascii="Arial" w:hAnsi="Arial" w:cs="Arial"/>
          <w:color w:val="000000" w:themeColor="text1"/>
          <w:sz w:val="20"/>
          <w:szCs w:val="20"/>
        </w:rPr>
        <w:t xml:space="preserve">Zasada równoważenia obowiązków administracyjnych została uwzględniona w projekcie na równi z zasadą proporcjonalności i adekwatności. </w:t>
      </w:r>
      <w:r w:rsidRPr="005C158A">
        <w:rPr>
          <w:rFonts w:ascii="Arial" w:hAnsi="Arial" w:cs="Arial"/>
          <w:sz w:val="20"/>
          <w:szCs w:val="20"/>
        </w:rPr>
        <w:t xml:space="preserve">Zasada ta w proponowanej wersji polega na tym, by projektując nowe obowiązki administracyjne, dążyć do zmniejszenia obciążeń administracyjnych wynikających z uregulowań prawnych już obowiązujących w danej dziedzinie. Proponowana zasada koresponduje z obowiązkami </w:t>
      </w:r>
      <w:r w:rsidRPr="005C158A">
        <w:rPr>
          <w:rFonts w:ascii="Arial" w:hAnsi="Arial" w:cs="Arial"/>
          <w:sz w:val="20"/>
          <w:szCs w:val="20"/>
        </w:rPr>
        <w:lastRenderedPageBreak/>
        <w:t>wynikającymi z § 1 ust. 2 pkt 1 Zasad Techniki Prawodawczej (stanowiących załącznik do rozporządzenia Prezesa Rady Ministrów z dnia 20 czerwca 2002 r. w sprawie „Zasad techniki prawodawczej”).</w:t>
      </w:r>
      <w:r w:rsidR="002525C2" w:rsidRPr="005C158A">
        <w:rPr>
          <w:rFonts w:ascii="Arial" w:hAnsi="Arial" w:cs="Arial"/>
          <w:sz w:val="20"/>
          <w:szCs w:val="20"/>
        </w:rPr>
        <w:t xml:space="preserve"> </w:t>
      </w:r>
      <w:r w:rsidR="002525C2" w:rsidRPr="005C158A">
        <w:rPr>
          <w:rFonts w:ascii="Arial" w:hAnsi="Arial" w:cs="Arial"/>
          <w:color w:val="000000" w:themeColor="text1"/>
          <w:sz w:val="20"/>
          <w:szCs w:val="20"/>
        </w:rPr>
        <w:t>Ma to być ogólna zasada, jaką projektodawcy powinni kierować się projektując nowe przepisy i pełnić funkcję mobilizującą do poszukiwania jak najmniej obciążających rozwiązań oraz eliminowania przestarzałych i niepotrzebnych obciążeń, przy zapewnieniu standardów prowadzenia działalności gospodarczej oraz ochrony interesu publicznego.</w:t>
      </w:r>
    </w:p>
    <w:p w14:paraId="30E2666A" w14:textId="0A079AA8" w:rsidR="00F3131D" w:rsidRPr="005C158A" w:rsidRDefault="00F3131D" w:rsidP="00DC6DF4">
      <w:pPr>
        <w:pStyle w:val="Akapitzlist"/>
        <w:numPr>
          <w:ilvl w:val="0"/>
          <w:numId w:val="7"/>
        </w:numPr>
        <w:spacing w:before="120" w:after="120" w:line="360" w:lineRule="auto"/>
        <w:ind w:left="0" w:firstLine="0"/>
        <w:jc w:val="both"/>
        <w:rPr>
          <w:rFonts w:ascii="Arial" w:hAnsi="Arial" w:cs="Arial"/>
          <w:sz w:val="20"/>
          <w:szCs w:val="20"/>
        </w:rPr>
      </w:pPr>
      <w:r w:rsidRPr="005C158A">
        <w:rPr>
          <w:rFonts w:ascii="Arial" w:hAnsi="Arial" w:cs="Arial"/>
          <w:sz w:val="20"/>
          <w:szCs w:val="20"/>
        </w:rPr>
        <w:t>zasady projektowania oceny funkcjonowania aktu normatywnego.</w:t>
      </w:r>
    </w:p>
    <w:p w14:paraId="787FC1CD" w14:textId="60C4E0AB"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Kwestie OSR ex post nie są - jak do tej pory - regulowane przepisami ustawowymi. Założono, że realizacja oceny funkcjonowania aktu prawnego, jako jego ewaluacji, dokonuje się przede wszystkim w administracji rządowej (jako elemencie władzy wykonawczej). Dodatkowo: określenie w OSR terminu ewaluacji i przygotowania OSR ex post do całości lub części ustawy jest elementem programowania prac rządu. Określanie mierników i terminów ewaluacji w stosunku do projektów rządowych powinno zatem należeć do Rady Ministrów i być wyrażone przyjęciem określonych dokumentów przez Radę Ministrów. W przypadku projektów poselskich możliwy jest inny mechanizm zaplanowania ewaluacji aktu prawnego – wnioskodawcy mogą zawrzeć klauzulę przeglądową w treści normatywnej przyjmowanej ustawy. Biorąc powyższe pod uwagę zaproponowano, by przyjmowane przez Radę Ministrów projekty aktów normatywnych, które określają zasady podejmowania, wykonywania lub zakończenia działalności gospodarczej zawierały w ocenie skutków regulacji, stanowiącej odrębną część uzasadnienia projektu aktu normatywnego, informacje na temat zakresu oceny funkcjonowania projektowanego aktu normatywnego lub jego części, w szczególności mierników określających stopień realizacji jego celów, oraz terminu przygotowania takiej oceny. Proponowany przepis koresponduje z § 152 ust. 3</w:t>
      </w:r>
      <w:r w:rsidR="002525C2" w:rsidRPr="005C158A">
        <w:rPr>
          <w:rFonts w:ascii="Arial" w:hAnsi="Arial" w:cs="Arial"/>
          <w:sz w:val="20"/>
          <w:szCs w:val="20"/>
        </w:rPr>
        <w:t xml:space="preserve"> uchwały nr 190 Rady Ministrów z dnia 29 października 2013 r. – Regulamin pracy Rady Ministrów</w:t>
      </w:r>
      <w:r w:rsidRPr="005C158A">
        <w:rPr>
          <w:rFonts w:ascii="Arial" w:hAnsi="Arial" w:cs="Arial"/>
          <w:sz w:val="20"/>
          <w:szCs w:val="20"/>
        </w:rPr>
        <w:t xml:space="preserve">, zgodnie z którym OSR ex post może dotyczyć aktu normatywnego lub jego części. Proponowany przepis koresponduje również z ust. 1 pkt 2 wskazanego paragrafu, zgodnie z którym OSR ex post przygotowywany jest, jeżeli wynika to z oceny skutków regulacji projektu aktu normatywnego przyjętego przez Radę Ministrów. W przypadku, w którym zakłada się brak przeprowadzenia ewaluacji aktu normatywnego należy przedstawić informację o braku zasadności przygotowania OSR ex post tego aktu. </w:t>
      </w:r>
    </w:p>
    <w:p w14:paraId="583AD8BF" w14:textId="77777777" w:rsidR="00F3131D" w:rsidRPr="005C158A" w:rsidRDefault="00F3131D" w:rsidP="00DC6DF4">
      <w:pPr>
        <w:pStyle w:val="Akapitzlist"/>
        <w:numPr>
          <w:ilvl w:val="0"/>
          <w:numId w:val="7"/>
        </w:numPr>
        <w:spacing w:before="120" w:after="120" w:line="360" w:lineRule="auto"/>
        <w:ind w:left="0" w:firstLine="0"/>
        <w:jc w:val="both"/>
        <w:rPr>
          <w:rFonts w:ascii="Arial" w:hAnsi="Arial" w:cs="Arial"/>
          <w:sz w:val="20"/>
          <w:szCs w:val="20"/>
        </w:rPr>
      </w:pPr>
      <w:r w:rsidRPr="005C158A">
        <w:rPr>
          <w:rFonts w:ascii="Arial" w:hAnsi="Arial" w:cs="Arial"/>
          <w:sz w:val="20"/>
          <w:szCs w:val="20"/>
        </w:rPr>
        <w:t>zasada oceny projektu pod kątem notyfikacji usługowej .</w:t>
      </w:r>
    </w:p>
    <w:p w14:paraId="6499FA37"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Przewidziana w art. 68a ust. 1 pkt 1 </w:t>
      </w:r>
      <w:proofErr w:type="spellStart"/>
      <w:r w:rsidRPr="005C158A">
        <w:rPr>
          <w:rFonts w:ascii="Arial" w:hAnsi="Arial" w:cs="Arial"/>
          <w:sz w:val="20"/>
          <w:szCs w:val="20"/>
        </w:rPr>
        <w:t>Pp</w:t>
      </w:r>
      <w:proofErr w:type="spellEnd"/>
      <w:r w:rsidRPr="005C158A">
        <w:rPr>
          <w:rFonts w:ascii="Arial" w:hAnsi="Arial" w:cs="Arial"/>
          <w:sz w:val="20"/>
          <w:szCs w:val="20"/>
        </w:rPr>
        <w:t xml:space="preserve"> konieczność ujawnienia w uzasadnieniu projektu oceny wnioskodawcy czy projekt zawiera wymogi nakładane na usługodawców podlegające notyfikacji, ma na celu upowszechnienie notyfikacji usługowych w polskim rządowym procesie legislacyjnym. Notyfikacje usługowe są realizowane w Polsce na podstawie procedury przyjętej przez Komitet do Spraw Europejskich Rady Ministrów 10 października 2013 r. Mimo wyznaczenia w ministerstwach i aktualizowania listy ekspertów do spraw notyfikacji, Polska od początku działania systemu IMI</w:t>
      </w:r>
      <w:r w:rsidRPr="005C158A">
        <w:rPr>
          <w:rFonts w:ascii="Arial" w:hAnsi="Arial" w:cs="Arial"/>
          <w:sz w:val="20"/>
          <w:szCs w:val="20"/>
          <w:vertAlign w:val="superscript"/>
        </w:rPr>
        <w:footnoteReference w:id="7"/>
      </w:r>
      <w:r w:rsidRPr="005C158A">
        <w:rPr>
          <w:rFonts w:ascii="Arial" w:hAnsi="Arial" w:cs="Arial"/>
          <w:sz w:val="20"/>
          <w:szCs w:val="20"/>
        </w:rPr>
        <w:t>,czyli od 2013 r., notyfikowała tylko kilkanaście wymogów. Rocznie w systemie pojawia się ok. 80-90 notyfikacji z wszystkich państw członkowskich.</w:t>
      </w:r>
    </w:p>
    <w:p w14:paraId="0221003A" w14:textId="77777777" w:rsidR="00F3131D" w:rsidRPr="005C158A" w:rsidRDefault="00F3131D" w:rsidP="00DC6DF4">
      <w:pPr>
        <w:pStyle w:val="Akapitzlist"/>
        <w:numPr>
          <w:ilvl w:val="0"/>
          <w:numId w:val="7"/>
        </w:numPr>
        <w:spacing w:before="120" w:after="120" w:line="360" w:lineRule="auto"/>
        <w:ind w:left="0" w:firstLine="0"/>
        <w:jc w:val="both"/>
        <w:rPr>
          <w:rFonts w:ascii="Arial" w:hAnsi="Arial" w:cs="Arial"/>
          <w:sz w:val="20"/>
          <w:szCs w:val="20"/>
        </w:rPr>
      </w:pPr>
      <w:r w:rsidRPr="005C158A">
        <w:rPr>
          <w:rFonts w:ascii="Arial" w:hAnsi="Arial" w:cs="Arial"/>
          <w:sz w:val="20"/>
          <w:szCs w:val="20"/>
        </w:rPr>
        <w:lastRenderedPageBreak/>
        <w:t>zasada obowiązkowej oceny skutków regulacji ex post.</w:t>
      </w:r>
    </w:p>
    <w:p w14:paraId="4712684B"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Projekt przewiduje w przypadku  odstąpienia od przeprowadzenia konsultacji publicznych dotyczących projektu aktu normatywnego, który określa zasady podejmowania, wykonywania lub zakończenia działalności gospodarczej, obowiązek wskazania terminu przygotowania OSR ex post tego aktu w ocenie skutków regulacji nie dłuższy niż dwa lata od wejścia w życie takiego aktu.</w:t>
      </w:r>
    </w:p>
    <w:p w14:paraId="7C0BA49D" w14:textId="114A9E57" w:rsidR="002525C2" w:rsidRPr="005C158A" w:rsidRDefault="002525C2"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Ocena funkcjonowania aktu ex post powinna zostać dokonana zgodnie z wytycznymi Rady Ministrów lub jej organu pomocniczego, ustalonymi na podstawie § 155b uchwały nr 190 Rady Ministrów z dnia 29 października 2013 r. – Regulamin pracy Rady Ministrów. Katalog działań możliwych do podjęcia w wyniku takiej oceny jest przedstawiony w „Wytycznych do przeprowadzania oceny wpływu oraz konsultacji publicznych w ramach rządowego procesu legislacyjnego”. Wskazano w nich m.in. że ocena funkcjonowania powinna zostać podsumowana wnioskami, czy w wyniku dokonanej analizy wskazane jest pozostawienie stanu obecnego, czy należy rozpocząć proces analizy, który może doprowadzić do zmiany lub uchylenia ustawy, czy też wskazane jest podjęcie innych działań naprawczych. Co do zasady, można pozostawić sytuację bez zmian tylko jeżeli ustawa funkcjonuje prawidłowo, tzn. realizuje zakładane cele. </w:t>
      </w:r>
    </w:p>
    <w:p w14:paraId="49FEE76F" w14:textId="77777777" w:rsidR="00526454" w:rsidRPr="005C158A" w:rsidRDefault="00526454" w:rsidP="00526454">
      <w:pPr>
        <w:pStyle w:val="Akapitzlist"/>
        <w:numPr>
          <w:ilvl w:val="0"/>
          <w:numId w:val="7"/>
        </w:numPr>
        <w:spacing w:before="120" w:after="120" w:line="360" w:lineRule="auto"/>
        <w:ind w:left="0" w:firstLine="0"/>
        <w:jc w:val="both"/>
        <w:rPr>
          <w:rFonts w:ascii="Arial" w:hAnsi="Arial" w:cs="Arial"/>
          <w:sz w:val="20"/>
          <w:szCs w:val="20"/>
        </w:rPr>
      </w:pPr>
      <w:r w:rsidRPr="005C158A">
        <w:rPr>
          <w:rFonts w:ascii="Arial" w:hAnsi="Arial" w:cs="Arial"/>
          <w:sz w:val="20"/>
          <w:szCs w:val="20"/>
        </w:rPr>
        <w:t>zasada odpowiedniego vacatio legis projektów ustaw.</w:t>
      </w:r>
    </w:p>
    <w:p w14:paraId="53016DAE" w14:textId="65ABB370" w:rsidR="00526454" w:rsidRPr="005C158A" w:rsidRDefault="00526454" w:rsidP="00526454">
      <w:pPr>
        <w:spacing w:before="120" w:after="120" w:line="360" w:lineRule="auto"/>
        <w:jc w:val="both"/>
        <w:rPr>
          <w:rFonts w:ascii="Arial" w:hAnsi="Arial" w:cs="Arial"/>
          <w:sz w:val="20"/>
          <w:szCs w:val="20"/>
        </w:rPr>
      </w:pPr>
      <w:r w:rsidRPr="005C158A">
        <w:rPr>
          <w:rFonts w:ascii="Arial" w:hAnsi="Arial" w:cs="Arial"/>
          <w:sz w:val="20"/>
          <w:szCs w:val="20"/>
        </w:rPr>
        <w:t xml:space="preserve">W odpowiedzi na postulaty przedsiębiorców dotyczące potrzeby zapewnienia odpowiedniego czasu na dostosowanie się do nowych przepisów, proponuje się wydłużenie vacatio legis w przypadku projektów ustaw, które określają zasady podejmowania, wykonywania lub zakończenia działalności gospodarczej. Przepis miałby zostać wprowadzony w rozdziale 6 Prawa przedsiębiorców, który reguluje zasady opracowywania projektów aktów normatywnych z zakresu prawa gospodarczego i miałby on charakter lex </w:t>
      </w:r>
      <w:proofErr w:type="spellStart"/>
      <w:r w:rsidRPr="005C158A">
        <w:rPr>
          <w:rFonts w:ascii="Arial" w:hAnsi="Arial" w:cs="Arial"/>
          <w:sz w:val="20"/>
          <w:szCs w:val="20"/>
        </w:rPr>
        <w:t>specialis</w:t>
      </w:r>
      <w:proofErr w:type="spellEnd"/>
      <w:r w:rsidRPr="005C158A">
        <w:rPr>
          <w:rFonts w:ascii="Arial" w:hAnsi="Arial" w:cs="Arial"/>
          <w:sz w:val="20"/>
          <w:szCs w:val="20"/>
        </w:rPr>
        <w:t xml:space="preserve"> wobec ustawy z dnia 20 lipca 2000 r. o ogłaszaniu aktów normatywnych i niektórych innych aktów prawnych. Zgodnie z art. 4 ustawy o ogłaszaniu aktów normatywnych</w:t>
      </w:r>
      <w:r w:rsidR="00F55A1B" w:rsidRPr="005C158A">
        <w:rPr>
          <w:rFonts w:ascii="Arial" w:hAnsi="Arial" w:cs="Arial"/>
          <w:sz w:val="20"/>
          <w:szCs w:val="20"/>
        </w:rPr>
        <w:t>,</w:t>
      </w:r>
      <w:r w:rsidRPr="005C158A">
        <w:rPr>
          <w:rFonts w:ascii="Arial" w:hAnsi="Arial" w:cs="Arial"/>
          <w:sz w:val="20"/>
          <w:szCs w:val="20"/>
        </w:rPr>
        <w:t xml:space="preserve"> akty normatywne zawierające przepisy powszechnie obowiązujące, ogłaszane w dziennikach urzędowych, wchodzą w życie co do zasady po upływie 14 dni od dnia ich ogłoszenia, chyba że dany akt normatywny określi termin dłuższy. W uzasadnionych przypadkach akty normatywne mogą wchodzić w życie w terminie krótszym niż czternaście dni, a jeżeli ważny interes państwa wymaga natychmiastowego wejścia w życie aktu normatywnego i zasady demokratycznego państwa prawnego nie stoją temu na przeszkodzie, dniem wejścia w życie może być dzień ogłoszenia tego aktu w dzienniku urzędowym. </w:t>
      </w:r>
    </w:p>
    <w:p w14:paraId="78D99CAD" w14:textId="053956DA" w:rsidR="00526454" w:rsidRPr="005C158A" w:rsidRDefault="00526454" w:rsidP="00526454">
      <w:pPr>
        <w:spacing w:before="120" w:after="120" w:line="360" w:lineRule="auto"/>
        <w:jc w:val="both"/>
        <w:rPr>
          <w:rFonts w:ascii="Arial" w:hAnsi="Arial" w:cs="Arial"/>
          <w:sz w:val="20"/>
          <w:szCs w:val="20"/>
        </w:rPr>
      </w:pPr>
      <w:r w:rsidRPr="005C158A">
        <w:rPr>
          <w:rFonts w:ascii="Arial" w:hAnsi="Arial" w:cs="Arial"/>
          <w:sz w:val="20"/>
          <w:szCs w:val="20"/>
        </w:rPr>
        <w:t xml:space="preserve">Proponowany przepis nakłada na wnioskodawców projektów ustaw określających zasady działalności gospodarczej, przedkładanych Sejmowi, obowiązek kierowania się przy wyznaczaniu terminu wejścia w życie ustawy potrzebą zapewnienia przedsiębiorcom czasu niezbędnego do dostosowania ich działalności gospodarczej do tych zasad, przy czym termin ten nie może być krótszy niż jeden miesiąc od dnia ogłoszenia. Czas potrzebny przedsiębiorcom do przygotowania się do nowych regulacji będzie kluczowy przy wyznaczaniu vacatio legis, przy czym nie będzie to jedyna przesłanka. Wnioskodawca będzie obowiązany rozważać również takie aspekty jak np. konieczność sprawnej realizacji zadań publicznych, czy zapewnienie standardów prowadzenia działalności gospodarczej. Jednocześnie przewidziano możliwość wyjątkowego odstąpienia </w:t>
      </w:r>
      <w:r w:rsidR="007C38A5" w:rsidRPr="005C158A">
        <w:rPr>
          <w:rFonts w:ascii="Arial" w:hAnsi="Arial" w:cs="Arial"/>
          <w:sz w:val="20"/>
          <w:szCs w:val="20"/>
        </w:rPr>
        <w:t>od</w:t>
      </w:r>
      <w:r w:rsidR="007C38A5" w:rsidRPr="005C158A">
        <w:t xml:space="preserve"> minimalnego miesięcznego vacatio legis</w:t>
      </w:r>
      <w:r w:rsidRPr="005C158A">
        <w:rPr>
          <w:rFonts w:ascii="Arial" w:hAnsi="Arial" w:cs="Arial"/>
          <w:sz w:val="20"/>
          <w:szCs w:val="20"/>
        </w:rPr>
        <w:t xml:space="preserve">, gdy przemawia za tym ważny interes publiczny lub gdy wynika to konieczności implementacji lub wykonania </w:t>
      </w:r>
      <w:r w:rsidRPr="005C158A">
        <w:rPr>
          <w:rFonts w:ascii="Arial" w:hAnsi="Arial" w:cs="Arial"/>
          <w:sz w:val="20"/>
          <w:szCs w:val="20"/>
        </w:rPr>
        <w:lastRenderedPageBreak/>
        <w:t xml:space="preserve">przepisów prawa Unii Europejskiej. </w:t>
      </w:r>
      <w:r w:rsidR="007C38A5" w:rsidRPr="005C158A">
        <w:t xml:space="preserve">Odstąpienie od tej zasady będzie mogło mieć zastosowanie w przypadku zmian, które będą korzystne dla przedsiębiorców. </w:t>
      </w:r>
      <w:r w:rsidRPr="005C158A">
        <w:rPr>
          <w:rFonts w:ascii="Arial" w:hAnsi="Arial" w:cs="Arial"/>
          <w:sz w:val="20"/>
          <w:szCs w:val="20"/>
        </w:rPr>
        <w:t>W taki</w:t>
      </w:r>
      <w:r w:rsidR="007C38A5" w:rsidRPr="005C158A">
        <w:rPr>
          <w:rFonts w:ascii="Arial" w:hAnsi="Arial" w:cs="Arial"/>
          <w:sz w:val="20"/>
          <w:szCs w:val="20"/>
        </w:rPr>
        <w:t>ch</w:t>
      </w:r>
      <w:r w:rsidRPr="005C158A">
        <w:rPr>
          <w:rFonts w:ascii="Arial" w:hAnsi="Arial" w:cs="Arial"/>
          <w:sz w:val="20"/>
          <w:szCs w:val="20"/>
        </w:rPr>
        <w:t xml:space="preserve"> przypadk</w:t>
      </w:r>
      <w:r w:rsidR="007C38A5" w:rsidRPr="005C158A">
        <w:rPr>
          <w:rFonts w:ascii="Arial" w:hAnsi="Arial" w:cs="Arial"/>
          <w:sz w:val="20"/>
          <w:szCs w:val="20"/>
        </w:rPr>
        <w:t>ach</w:t>
      </w:r>
      <w:r w:rsidRPr="005C158A">
        <w:rPr>
          <w:rFonts w:ascii="Arial" w:hAnsi="Arial" w:cs="Arial"/>
          <w:sz w:val="20"/>
          <w:szCs w:val="20"/>
        </w:rPr>
        <w:t xml:space="preserve"> w uzasadnieniu projektu ustawy wnioskodawca będzie obowiązany przedstawić przyczyny takiego odstąpienia. </w:t>
      </w:r>
    </w:p>
    <w:p w14:paraId="26DF3131" w14:textId="77777777" w:rsidR="00F3131D" w:rsidRPr="005C158A" w:rsidRDefault="00F3131D" w:rsidP="00DC6DF4">
      <w:pPr>
        <w:pStyle w:val="Akapitzlist"/>
        <w:numPr>
          <w:ilvl w:val="0"/>
          <w:numId w:val="7"/>
        </w:numPr>
        <w:spacing w:before="120" w:after="120" w:line="360" w:lineRule="auto"/>
        <w:ind w:left="0" w:firstLine="0"/>
        <w:jc w:val="both"/>
        <w:rPr>
          <w:rFonts w:ascii="Arial" w:hAnsi="Arial" w:cs="Arial"/>
          <w:sz w:val="20"/>
          <w:szCs w:val="20"/>
        </w:rPr>
      </w:pPr>
      <w:r w:rsidRPr="005C158A">
        <w:rPr>
          <w:rFonts w:ascii="Arial" w:hAnsi="Arial" w:cs="Arial"/>
          <w:sz w:val="20"/>
          <w:szCs w:val="20"/>
        </w:rPr>
        <w:t>usprawnienia w zakresie bieżącego przeglądu prawa gospodarczego.</w:t>
      </w:r>
    </w:p>
    <w:p w14:paraId="5B6EE038"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Zmiana brzmienia art. 70 ma na celu usprawnienie procesu dokonywania bieżących przeglądów prawa gospodarczego, w szczególności przez wskazanie ministra właściwego do spraw gospodarki jako organu, któremu przedkładane są informacje o działaniach podjętych przez ministrów kierujących działami administracji rządowej, oraz określenie kategorii informacji przez nich przekazywanych (wskazanie aktów normatywnych, które wpływają na </w:t>
      </w:r>
      <w:proofErr w:type="spellStart"/>
      <w:r w:rsidRPr="005C158A">
        <w:rPr>
          <w:rFonts w:ascii="Arial" w:hAnsi="Arial" w:cs="Arial"/>
          <w:sz w:val="20"/>
          <w:szCs w:val="20"/>
        </w:rPr>
        <w:t>mikroprzedsiębiorców</w:t>
      </w:r>
      <w:proofErr w:type="spellEnd"/>
      <w:r w:rsidRPr="005C158A">
        <w:rPr>
          <w:rFonts w:ascii="Arial" w:hAnsi="Arial" w:cs="Arial"/>
          <w:sz w:val="20"/>
          <w:szCs w:val="20"/>
        </w:rPr>
        <w:t>, małych i średnich przedsiębiorców oraz wskazanie aktów normatywnych, które nakładają na przedsiębiorców obowiązki administracyjne, w tym obowiązki informacyjne). Informacje takie stanowią również element swoistego programowania pracy Rady Ministrów (wskazanie aktów normatywnych, w stosunku do których zaplanowano przeprowadzenie oceny ich funkcjonowania lub oceny funkcjonowania ich części). Zakres informacji opiera się na i wynika z kilkuletnich doświadczeń związanych z dokonywaniem bieżącego przeglądu prawa gospodarczego.</w:t>
      </w:r>
    </w:p>
    <w:p w14:paraId="479C9FC2"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Projekt wprowadza rozwiązania pozwalające na elastyczne ustalenie i publikację w BIP wzoru formularza informacji przeznaczonej dla ministra właściwego do spraw gospodarki. Rozwiązanie to wzorowane jest na mechanizmie określonym w art. 4 ust. 18 ustawy z dnia 12 marca 2022 r. o pomocy obywatelom Ukrainy w związku z konfliktem zbrojnym na terytorium tego państwa i ma – w założeniu – usprawnić i ustandaryzować proces realizacji obowiązku informacyjnego nałożony na ministrów kierujących działami administracji rządowej. </w:t>
      </w:r>
    </w:p>
    <w:p w14:paraId="5EA9A007"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Proponowane zmiany art. 70 dookreślają postępowanie z uzyskanymi w ten sposób informacjami. Proponowane rozwiązanie przewiduje w szczególności, że informacje o działaniach związanych z bieżącym przeglądem przekazuje się podmiotom, które w systemie prawnym wyposażone są w kompetencje związane z oceną praktyki legislacyjnej. Wśród tych podmiotów wskazano: </w:t>
      </w:r>
    </w:p>
    <w:p w14:paraId="2C6D227B" w14:textId="77777777" w:rsidR="00F3131D" w:rsidRPr="005C158A" w:rsidRDefault="00F3131D" w:rsidP="00DC6DF4">
      <w:pPr>
        <w:pStyle w:val="Akapitzlist"/>
        <w:numPr>
          <w:ilvl w:val="0"/>
          <w:numId w:val="8"/>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Radę Dialogu Społecznego, o której mowa w ustawie z dnia 24 lipca 2015 r. o Radzie Dialogu Społecznego i innych instytucjach dialogu społecznego - ze względu na rolę forum trójstronnej współpracy i reprezentację osób wykonujących pracę zarobkową, </w:t>
      </w:r>
    </w:p>
    <w:p w14:paraId="71D09EC6" w14:textId="77777777" w:rsidR="00F3131D" w:rsidRPr="005C158A" w:rsidRDefault="00F3131D" w:rsidP="00DC6DF4">
      <w:pPr>
        <w:pStyle w:val="Akapitzlist"/>
        <w:numPr>
          <w:ilvl w:val="0"/>
          <w:numId w:val="8"/>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Radę Legislacyjną, o której mowa w ustawie z dnia 8 sierpnia 1996 r. o Radzie Ministrów – ze względu na zadania Rady, polegające w szczególności na dokonywaniu ocen stosowania obowiązującego prawa pod względem jego spójności, skuteczności i właściwego regulowania zjawisk społecznych, </w:t>
      </w:r>
    </w:p>
    <w:p w14:paraId="6B6806D1" w14:textId="77777777" w:rsidR="00F3131D" w:rsidRPr="005C158A" w:rsidRDefault="00F3131D" w:rsidP="00DC6DF4">
      <w:pPr>
        <w:pStyle w:val="Akapitzlist"/>
        <w:numPr>
          <w:ilvl w:val="0"/>
          <w:numId w:val="8"/>
        </w:numPr>
        <w:spacing w:before="120" w:after="120" w:line="360" w:lineRule="auto"/>
        <w:ind w:left="0" w:firstLine="0"/>
        <w:jc w:val="both"/>
        <w:rPr>
          <w:rFonts w:ascii="Arial" w:hAnsi="Arial" w:cs="Arial"/>
          <w:sz w:val="20"/>
          <w:szCs w:val="20"/>
        </w:rPr>
      </w:pPr>
      <w:r w:rsidRPr="005C158A">
        <w:rPr>
          <w:rFonts w:ascii="Arial" w:hAnsi="Arial" w:cs="Arial"/>
          <w:sz w:val="20"/>
          <w:szCs w:val="20"/>
        </w:rPr>
        <w:t>Radę Pożytku Publicznego, o której mowa w ustawie z dnia 24 kwietnia 2003 r. o działalności pożytku publicznego i o wolontariacie – ze względu na zadania Rady polegające na wyrażaniu opinii o projektach aktów prawnych oraz programach rządowych, związanych z funkcjonowaniem organizacji pozarządowych, gdy wiele z takich organizacji prowadzi działalność gospodarczą,</w:t>
      </w:r>
    </w:p>
    <w:p w14:paraId="10DA678E" w14:textId="77777777" w:rsidR="00F3131D" w:rsidRPr="005C158A" w:rsidRDefault="00F3131D" w:rsidP="00DC6DF4">
      <w:pPr>
        <w:pStyle w:val="Akapitzlist"/>
        <w:numPr>
          <w:ilvl w:val="0"/>
          <w:numId w:val="8"/>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Rzecznika Małych i Średnich Przedsiębiorców, który – zgodnie z art. 16 ust. 1 </w:t>
      </w:r>
      <w:proofErr w:type="spellStart"/>
      <w:r w:rsidRPr="005C158A">
        <w:rPr>
          <w:rFonts w:ascii="Arial" w:hAnsi="Arial" w:cs="Arial"/>
          <w:sz w:val="20"/>
          <w:szCs w:val="20"/>
        </w:rPr>
        <w:t>Pp</w:t>
      </w:r>
      <w:proofErr w:type="spellEnd"/>
      <w:r w:rsidRPr="005C158A">
        <w:rPr>
          <w:rFonts w:ascii="Arial" w:hAnsi="Arial" w:cs="Arial"/>
          <w:sz w:val="20"/>
          <w:szCs w:val="20"/>
        </w:rPr>
        <w:t xml:space="preserve"> – stoi na straży praw </w:t>
      </w:r>
      <w:proofErr w:type="spellStart"/>
      <w:r w:rsidRPr="005C158A">
        <w:rPr>
          <w:rFonts w:ascii="Arial" w:hAnsi="Arial" w:cs="Arial"/>
          <w:sz w:val="20"/>
          <w:szCs w:val="20"/>
        </w:rPr>
        <w:t>mikroprzedsiębiorców</w:t>
      </w:r>
      <w:proofErr w:type="spellEnd"/>
      <w:r w:rsidRPr="005C158A">
        <w:rPr>
          <w:rFonts w:ascii="Arial" w:hAnsi="Arial" w:cs="Arial"/>
          <w:sz w:val="20"/>
          <w:szCs w:val="20"/>
        </w:rPr>
        <w:t xml:space="preserve"> oraz małych i średnich przedsiębiorców, a także dysponuje określonymi </w:t>
      </w:r>
      <w:r w:rsidRPr="005C158A">
        <w:rPr>
          <w:rFonts w:ascii="Arial" w:hAnsi="Arial" w:cs="Arial"/>
          <w:sz w:val="20"/>
          <w:szCs w:val="20"/>
        </w:rPr>
        <w:lastRenderedPageBreak/>
        <w:t>kompetencjami w zakresie wnioskowania o przygotowanie oceny funkcjonowania aktów normatywnych z zakresu prawa gospodarczego.</w:t>
      </w:r>
    </w:p>
    <w:p w14:paraId="25C36E28"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Zakłada się, że informacje przygotowane przez ministrów kierujących działami administracji rządowej, które będą przekazywane ministrowi właściwemu do spraw gospodarki, będą przekazane ww. podmiotom – w celu umożliwienia im wyrażenia stanowiska lub opinii. Informacje przedkładane ministrowi właściwemu do spraw gospodarki, a także stanowiska oraz opinie zgłoszone do takich informacji, będą publikowane w Biuletynie Informacji Publicznej tego organu.</w:t>
      </w:r>
    </w:p>
    <w:p w14:paraId="5565B784" w14:textId="77777777" w:rsidR="00F3131D" w:rsidRPr="005C158A" w:rsidRDefault="00F3131D" w:rsidP="00DC6DF4">
      <w:pPr>
        <w:pStyle w:val="Akapitzlist"/>
        <w:numPr>
          <w:ilvl w:val="0"/>
          <w:numId w:val="7"/>
        </w:numPr>
        <w:spacing w:before="120" w:after="120" w:line="360" w:lineRule="auto"/>
        <w:ind w:left="0" w:firstLine="0"/>
        <w:jc w:val="both"/>
        <w:rPr>
          <w:rFonts w:ascii="Arial" w:hAnsi="Arial" w:cs="Arial"/>
          <w:sz w:val="20"/>
          <w:szCs w:val="20"/>
        </w:rPr>
      </w:pPr>
      <w:r w:rsidRPr="005C158A">
        <w:rPr>
          <w:rFonts w:ascii="Arial" w:hAnsi="Arial" w:cs="Arial"/>
          <w:sz w:val="20"/>
          <w:szCs w:val="20"/>
        </w:rPr>
        <w:t>polityka regulacyjna.</w:t>
      </w:r>
    </w:p>
    <w:p w14:paraId="3A3E2BA1"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Dodatkowo, w celu zapewnienia ciągłej poprawy jakości regulacji proponuje się wprowadzenie polityki regulacyjnej. Przewiduje się uregulowanie polityki w nowym rozdziale 6a Pp. Polityka określałaby priorytetowe działania w obszarze kształtowania otoczenia prawnego wykonywania działalności gospodarczej w zakresie: redukcji obciążeń regulacyjnych; prowadzenia konsultacji publicznych projektów aktów normatywnych i dokonywania oceny funkcjonowania aktów normatywnych. Polityka będzie uwzględniać wyniki przeglądu funkcjonowania aktów normatywnych i planuje się jej opracowanie cyklicznie raz na 4 lata. Byłaby ona przyjmowana przez Radę Ministrów na wniosek ministra właściwego ds. gospodarki. </w:t>
      </w:r>
    </w:p>
    <w:p w14:paraId="22A7430D" w14:textId="77777777" w:rsidR="00526454" w:rsidRPr="005C158A" w:rsidRDefault="00526454" w:rsidP="00526454">
      <w:pPr>
        <w:spacing w:before="120" w:after="120" w:line="360" w:lineRule="auto"/>
        <w:jc w:val="both"/>
        <w:rPr>
          <w:rFonts w:ascii="Arial" w:hAnsi="Arial" w:cs="Arial"/>
          <w:sz w:val="20"/>
          <w:szCs w:val="20"/>
        </w:rPr>
      </w:pPr>
      <w:r w:rsidRPr="005C158A">
        <w:rPr>
          <w:rFonts w:ascii="Arial" w:hAnsi="Arial" w:cs="Arial"/>
          <w:sz w:val="20"/>
          <w:szCs w:val="20"/>
        </w:rPr>
        <w:t>Projektowana polityka regulacyjna, podobnie jak polityka zakupowa, nie będzie dokumentem wydawanym na podstawie ustawy o zasadach prowadzenia polityki rozwoju. Będzie to dokument przyjmowany w drodze uchwały Rady Ministrów, na wniosek ministra właściwego do spraw gospodarki. Doświadczenia z realizacji bieżącego przeglądu prawa gospodarczego zgodnie z art. 70 ust. 1 i oceny projektowanych rozwiązań zgodnie z art. 68a ust. 1 będą stanowiły podstawę do wypracowania konkretnych działań, które znajdą się w polityce regulacyjnej. Dokument ten ponadto będzie stanowił potwierdzenie wdrażania rekomendacji OECD dot. polityki regulacyjnej i zarządzania, które m.in. zobowiązują do przyjęcia jasnej ogólnej polityki rządu w zakresie jakości regulacji.</w:t>
      </w:r>
    </w:p>
    <w:p w14:paraId="30E0941E" w14:textId="7E1C8FCF" w:rsidR="002F42CE"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Zgodnie z przepisem przejściowym polityka regulacyjna powinna być opracowana po raz pierwszy do dnia 31 grudnia 2024 r.</w:t>
      </w:r>
    </w:p>
    <w:p w14:paraId="58D4F8A8" w14:textId="66AD9FFC" w:rsidR="005564F3" w:rsidRPr="005C158A" w:rsidRDefault="00C30E1B" w:rsidP="00401710">
      <w:pPr>
        <w:pStyle w:val="Nagwek2"/>
        <w:spacing w:before="120" w:after="120" w:line="360" w:lineRule="auto"/>
        <w:jc w:val="both"/>
        <w:rPr>
          <w:rFonts w:ascii="Arial" w:hAnsi="Arial" w:cs="Arial"/>
          <w:color w:val="auto"/>
          <w:sz w:val="20"/>
          <w:szCs w:val="20"/>
        </w:rPr>
      </w:pPr>
      <w:bookmarkStart w:id="96" w:name="_Toc138329785"/>
      <w:r w:rsidRPr="005C158A">
        <w:rPr>
          <w:rFonts w:ascii="Arial" w:hAnsi="Arial" w:cs="Arial"/>
          <w:color w:val="auto"/>
          <w:sz w:val="20"/>
          <w:szCs w:val="20"/>
        </w:rPr>
        <w:t>Ustawa</w:t>
      </w:r>
      <w:r w:rsidR="005564F3" w:rsidRPr="005C158A">
        <w:rPr>
          <w:rFonts w:ascii="Arial" w:hAnsi="Arial" w:cs="Arial"/>
          <w:color w:val="auto"/>
          <w:sz w:val="20"/>
          <w:szCs w:val="20"/>
        </w:rPr>
        <w:t xml:space="preserve"> z dnia 5 lipca 2018 r. o krajowym systemie </w:t>
      </w:r>
      <w:proofErr w:type="spellStart"/>
      <w:r w:rsidR="005564F3" w:rsidRPr="005C158A">
        <w:rPr>
          <w:rFonts w:ascii="Arial" w:hAnsi="Arial" w:cs="Arial"/>
          <w:color w:val="auto"/>
          <w:sz w:val="20"/>
          <w:szCs w:val="20"/>
        </w:rPr>
        <w:t>cyberbezpieczeństwa</w:t>
      </w:r>
      <w:bookmarkEnd w:id="96"/>
      <w:proofErr w:type="spellEnd"/>
      <w:r w:rsidR="005564F3" w:rsidRPr="005C158A">
        <w:rPr>
          <w:rFonts w:ascii="Arial" w:hAnsi="Arial" w:cs="Arial"/>
          <w:color w:val="auto"/>
          <w:sz w:val="20"/>
          <w:szCs w:val="20"/>
        </w:rPr>
        <w:t xml:space="preserve"> </w:t>
      </w:r>
    </w:p>
    <w:p w14:paraId="5D79FAAC" w14:textId="77777777" w:rsidR="00A47C1E" w:rsidRPr="005C158A" w:rsidRDefault="003E6561" w:rsidP="00A47C1E">
      <w:pPr>
        <w:spacing w:after="0" w:line="360" w:lineRule="auto"/>
        <w:jc w:val="both"/>
        <w:rPr>
          <w:rFonts w:ascii="Arial" w:eastAsia="SimSun" w:hAnsi="Arial" w:cs="Arial"/>
          <w:sz w:val="20"/>
          <w:szCs w:val="20"/>
          <w:lang w:eastAsia="ar-SA"/>
        </w:rPr>
      </w:pPr>
      <w:r w:rsidRPr="005C158A">
        <w:rPr>
          <w:rFonts w:ascii="Arial" w:hAnsi="Arial" w:cs="Arial"/>
          <w:bCs/>
          <w:iCs/>
          <w:sz w:val="20"/>
          <w:szCs w:val="20"/>
        </w:rPr>
        <w:t xml:space="preserve">Zmiana w niniejszej ustawie dotyczy odstąpienia od zasady dwuinstancyjności. </w:t>
      </w:r>
      <w:r w:rsidR="005564F3" w:rsidRPr="005C158A">
        <w:rPr>
          <w:rFonts w:ascii="Arial" w:hAnsi="Arial" w:cs="Arial"/>
          <w:sz w:val="20"/>
          <w:szCs w:val="20"/>
        </w:rPr>
        <w:t xml:space="preserve">Organ właściwy do spraw </w:t>
      </w:r>
      <w:proofErr w:type="spellStart"/>
      <w:r w:rsidR="005564F3" w:rsidRPr="005C158A">
        <w:rPr>
          <w:rFonts w:ascii="Arial" w:hAnsi="Arial" w:cs="Arial"/>
          <w:sz w:val="20"/>
          <w:szCs w:val="20"/>
        </w:rPr>
        <w:t>cyberbezpieczeństwa</w:t>
      </w:r>
      <w:proofErr w:type="spellEnd"/>
      <w:r w:rsidR="005564F3" w:rsidRPr="005C158A">
        <w:rPr>
          <w:rFonts w:ascii="Arial" w:hAnsi="Arial" w:cs="Arial"/>
          <w:sz w:val="20"/>
          <w:szCs w:val="20"/>
        </w:rPr>
        <w:t xml:space="preserve"> wydaje decyzję o uznaniu podmiotu za operatora usługi kluczowej po spełnieniu określonych w ustawie przesłanek (art. 5 ust. 2). </w:t>
      </w:r>
      <w:r w:rsidR="00A47C1E" w:rsidRPr="005C158A">
        <w:rPr>
          <w:rFonts w:ascii="Arial" w:hAnsi="Arial" w:cs="Arial"/>
          <w:sz w:val="20"/>
          <w:szCs w:val="20"/>
        </w:rPr>
        <w:t>Kryteria identyfikacji operatorów usług kluczowych według dyrektywy NIS są następujące:</w:t>
      </w:r>
    </w:p>
    <w:p w14:paraId="2B92867B" w14:textId="46CDB50B" w:rsidR="00A47C1E" w:rsidRPr="005C158A" w:rsidRDefault="00A47C1E" w:rsidP="00DC6DF4">
      <w:pPr>
        <w:numPr>
          <w:ilvl w:val="0"/>
          <w:numId w:val="20"/>
        </w:numPr>
        <w:suppressAutoHyphens/>
        <w:spacing w:after="0" w:line="360" w:lineRule="auto"/>
        <w:ind w:left="0" w:hanging="11"/>
        <w:rPr>
          <w:rFonts w:ascii="Arial" w:hAnsi="Arial" w:cs="Arial"/>
          <w:sz w:val="20"/>
          <w:szCs w:val="20"/>
        </w:rPr>
      </w:pPr>
      <w:r w:rsidRPr="005C158A">
        <w:rPr>
          <w:rFonts w:ascii="Arial" w:hAnsi="Arial" w:cs="Arial"/>
          <w:sz w:val="20"/>
          <w:szCs w:val="20"/>
        </w:rPr>
        <w:t>podmiot świadczy usługę, która ma kluczowe znaczenie dla utrzymania krytycznej działalności społecznej lub gospodarczej,</w:t>
      </w:r>
    </w:p>
    <w:p w14:paraId="2F3DE909" w14:textId="5422D721" w:rsidR="00A47C1E" w:rsidRPr="005C158A" w:rsidRDefault="00A47C1E" w:rsidP="00DC6DF4">
      <w:pPr>
        <w:numPr>
          <w:ilvl w:val="0"/>
          <w:numId w:val="20"/>
        </w:numPr>
        <w:suppressAutoHyphens/>
        <w:spacing w:after="0" w:line="360" w:lineRule="auto"/>
        <w:ind w:left="0" w:hanging="11"/>
        <w:rPr>
          <w:rFonts w:ascii="Arial" w:hAnsi="Arial" w:cs="Arial"/>
          <w:sz w:val="20"/>
          <w:szCs w:val="20"/>
        </w:rPr>
      </w:pPr>
      <w:r w:rsidRPr="005C158A">
        <w:rPr>
          <w:rFonts w:ascii="Arial" w:hAnsi="Arial" w:cs="Arial"/>
          <w:sz w:val="20"/>
          <w:szCs w:val="20"/>
        </w:rPr>
        <w:t xml:space="preserve">świadczenie tej usługi zależy od sieci i systemów informatycznych, oraz </w:t>
      </w:r>
    </w:p>
    <w:p w14:paraId="16845D6F" w14:textId="73819EAF" w:rsidR="00A47C1E" w:rsidRPr="005C158A" w:rsidRDefault="00A47C1E" w:rsidP="00DC6DF4">
      <w:pPr>
        <w:numPr>
          <w:ilvl w:val="0"/>
          <w:numId w:val="20"/>
        </w:numPr>
        <w:suppressAutoHyphens/>
        <w:spacing w:after="0" w:line="360" w:lineRule="auto"/>
        <w:ind w:left="0" w:hanging="11"/>
        <w:rPr>
          <w:rFonts w:ascii="Arial" w:hAnsi="Arial" w:cs="Arial"/>
          <w:sz w:val="20"/>
          <w:szCs w:val="20"/>
        </w:rPr>
      </w:pPr>
      <w:r w:rsidRPr="005C158A">
        <w:rPr>
          <w:rFonts w:ascii="Arial" w:hAnsi="Arial" w:cs="Arial"/>
          <w:sz w:val="20"/>
          <w:szCs w:val="20"/>
        </w:rPr>
        <w:t>incydent miałby istotny skutek zakłócający dla świadczenia tej usługi.</w:t>
      </w:r>
    </w:p>
    <w:p w14:paraId="5F72DBFD" w14:textId="33BB4C8F" w:rsidR="00C10969" w:rsidRPr="005C158A" w:rsidRDefault="005564F3" w:rsidP="009D388F">
      <w:pPr>
        <w:spacing w:after="0" w:line="360" w:lineRule="auto"/>
        <w:jc w:val="both"/>
        <w:rPr>
          <w:rFonts w:ascii="Arial" w:hAnsi="Arial" w:cs="Arial"/>
          <w:bCs/>
          <w:iCs/>
          <w:sz w:val="20"/>
          <w:szCs w:val="20"/>
        </w:rPr>
      </w:pPr>
      <w:r w:rsidRPr="005C158A">
        <w:rPr>
          <w:rFonts w:ascii="Arial" w:hAnsi="Arial" w:cs="Arial"/>
          <w:bCs/>
          <w:iCs/>
          <w:sz w:val="20"/>
          <w:szCs w:val="20"/>
        </w:rPr>
        <w:t xml:space="preserve">Odstąpienie od zasady dwuinstancyjności </w:t>
      </w:r>
      <w:r w:rsidR="00A47C1E" w:rsidRPr="005C158A">
        <w:rPr>
          <w:rFonts w:ascii="Arial" w:hAnsi="Arial" w:cs="Arial"/>
          <w:bCs/>
          <w:iCs/>
          <w:sz w:val="20"/>
          <w:szCs w:val="20"/>
        </w:rPr>
        <w:t xml:space="preserve"> w tym zakresie </w:t>
      </w:r>
      <w:r w:rsidRPr="005C158A">
        <w:rPr>
          <w:rFonts w:ascii="Arial" w:hAnsi="Arial" w:cs="Arial"/>
          <w:bCs/>
          <w:iCs/>
          <w:sz w:val="20"/>
          <w:szCs w:val="20"/>
        </w:rPr>
        <w:t>przyczyni się do szybszego i efektywniejszego rozstrzygania spraw</w:t>
      </w:r>
      <w:r w:rsidR="00A47C1E" w:rsidRPr="005C158A">
        <w:rPr>
          <w:rFonts w:ascii="Arial" w:hAnsi="Arial" w:cs="Arial"/>
          <w:bCs/>
          <w:iCs/>
          <w:sz w:val="20"/>
          <w:szCs w:val="20"/>
        </w:rPr>
        <w:t xml:space="preserve"> ze względu na enumeratywny charakter przepisu</w:t>
      </w:r>
      <w:r w:rsidRPr="005C158A">
        <w:rPr>
          <w:rFonts w:ascii="Arial" w:hAnsi="Arial" w:cs="Arial"/>
          <w:bCs/>
          <w:iCs/>
          <w:sz w:val="20"/>
          <w:szCs w:val="20"/>
        </w:rPr>
        <w:t xml:space="preserve">. Strona </w:t>
      </w:r>
      <w:r w:rsidRPr="005C158A">
        <w:rPr>
          <w:rFonts w:ascii="Arial" w:hAnsi="Arial" w:cs="Arial"/>
          <w:bCs/>
          <w:iCs/>
          <w:sz w:val="20"/>
          <w:szCs w:val="20"/>
        </w:rPr>
        <w:lastRenderedPageBreak/>
        <w:t>niezadowolona z rozstrzygnięcia organu będzie mogła dochodzić swoich praw w procedurze sądowo-administracyjnej.</w:t>
      </w:r>
    </w:p>
    <w:p w14:paraId="47A1BCED" w14:textId="77777777" w:rsidR="00A47C1E" w:rsidRPr="005C158A" w:rsidRDefault="00A47C1E" w:rsidP="009D388F">
      <w:pPr>
        <w:spacing w:after="0" w:line="360" w:lineRule="auto"/>
        <w:jc w:val="both"/>
        <w:rPr>
          <w:rFonts w:ascii="Arial" w:hAnsi="Arial" w:cs="Arial"/>
          <w:bCs/>
          <w:iCs/>
          <w:sz w:val="20"/>
          <w:szCs w:val="20"/>
        </w:rPr>
      </w:pPr>
      <w:r w:rsidRPr="005C158A">
        <w:rPr>
          <w:rFonts w:ascii="Arial" w:hAnsi="Arial" w:cs="Arial"/>
          <w:bCs/>
          <w:iCs/>
          <w:sz w:val="20"/>
          <w:szCs w:val="20"/>
        </w:rPr>
        <w:t xml:space="preserve">Należy także zaznaczyć, że w tym przypadku zastosowanie znajduje instytucja rygoru natychmiastowej wykonalności. Jej istotą jest to, że decyzja staje się wykonalna i stanowi tytuł egzekucyjny, pomimo że nie jest ostateczna. Rygor natychmiastowej wykonalności może być zatem nadany od decyzji nieostatecznej. </w:t>
      </w:r>
    </w:p>
    <w:p w14:paraId="22D9ABD0" w14:textId="77777777" w:rsidR="00A47C1E" w:rsidRPr="005C158A" w:rsidRDefault="00A47C1E" w:rsidP="009D388F">
      <w:pPr>
        <w:spacing w:after="0" w:line="360" w:lineRule="auto"/>
        <w:jc w:val="both"/>
        <w:rPr>
          <w:rFonts w:ascii="Arial" w:hAnsi="Arial" w:cs="Arial"/>
          <w:bCs/>
          <w:iCs/>
          <w:sz w:val="20"/>
          <w:szCs w:val="20"/>
        </w:rPr>
      </w:pPr>
      <w:bookmarkStart w:id="97" w:name="bookmarkbrzeg"/>
      <w:bookmarkEnd w:id="97"/>
      <w:r w:rsidRPr="005C158A">
        <w:rPr>
          <w:rFonts w:ascii="Arial" w:hAnsi="Arial" w:cs="Arial"/>
          <w:bCs/>
          <w:iCs/>
          <w:sz w:val="20"/>
          <w:szCs w:val="20"/>
        </w:rPr>
        <w:t>W przypadku przedmiotowej regulacji rygor natychmiastowej wykonalności został ustalony ustawowo. Rozwiązanie to wynika ze szczególnej rangi regulacji usług, które mają istotne znaczenie dla bezpieczeństwa.</w:t>
      </w:r>
    </w:p>
    <w:p w14:paraId="4F48C118" w14:textId="50C2CB65" w:rsidR="00A47C1E" w:rsidRPr="005C158A" w:rsidRDefault="00A47C1E" w:rsidP="009D388F">
      <w:pPr>
        <w:spacing w:line="360" w:lineRule="auto"/>
        <w:jc w:val="both"/>
        <w:rPr>
          <w:rFonts w:ascii="Arial" w:hAnsi="Arial" w:cs="Arial"/>
          <w:sz w:val="20"/>
          <w:szCs w:val="20"/>
        </w:rPr>
      </w:pPr>
      <w:r w:rsidRPr="005C158A">
        <w:rPr>
          <w:rFonts w:ascii="Arial" w:hAnsi="Arial" w:cs="Arial"/>
          <w:sz w:val="20"/>
          <w:szCs w:val="20"/>
        </w:rPr>
        <w:t xml:space="preserve">W związku z powyższym należy odstąpić od zasady dwuinstancyjności postępowania. </w:t>
      </w:r>
    </w:p>
    <w:p w14:paraId="248DB2DE" w14:textId="07201C4E" w:rsidR="0006198A" w:rsidRPr="005C158A" w:rsidRDefault="00C30E1B" w:rsidP="00401710">
      <w:pPr>
        <w:pStyle w:val="Nagwek2"/>
        <w:spacing w:before="120" w:after="120" w:line="360" w:lineRule="auto"/>
        <w:jc w:val="both"/>
        <w:rPr>
          <w:rFonts w:ascii="Arial" w:hAnsi="Arial" w:cs="Arial"/>
          <w:color w:val="auto"/>
          <w:sz w:val="20"/>
          <w:szCs w:val="20"/>
        </w:rPr>
      </w:pPr>
      <w:bookmarkStart w:id="98" w:name="_Toc138329786"/>
      <w:r w:rsidRPr="005C158A">
        <w:rPr>
          <w:rFonts w:ascii="Arial" w:hAnsi="Arial" w:cs="Arial"/>
          <w:color w:val="auto"/>
          <w:sz w:val="20"/>
          <w:szCs w:val="20"/>
        </w:rPr>
        <w:t>Ustawa</w:t>
      </w:r>
      <w:r w:rsidR="0006198A" w:rsidRPr="005C158A">
        <w:rPr>
          <w:rFonts w:ascii="Arial" w:hAnsi="Arial" w:cs="Arial"/>
          <w:color w:val="auto"/>
          <w:sz w:val="20"/>
          <w:szCs w:val="20"/>
        </w:rPr>
        <w:t xml:space="preserve"> z dnia 5 lipca 2018 r. o zarządzie sukcesyjnym przedsiębiorstwem osoby fizycznej i</w:t>
      </w:r>
      <w:r w:rsidR="00295358" w:rsidRPr="005C158A">
        <w:rPr>
          <w:rFonts w:ascii="Arial" w:hAnsi="Arial" w:cs="Arial"/>
          <w:color w:val="auto"/>
          <w:sz w:val="20"/>
          <w:szCs w:val="20"/>
        </w:rPr>
        <w:t> </w:t>
      </w:r>
      <w:r w:rsidR="0006198A" w:rsidRPr="005C158A">
        <w:rPr>
          <w:rFonts w:ascii="Arial" w:hAnsi="Arial" w:cs="Arial"/>
          <w:color w:val="auto"/>
          <w:sz w:val="20"/>
          <w:szCs w:val="20"/>
        </w:rPr>
        <w:t>innych ułatwieniach związanych z sukcesją przedsiębiorstw</w:t>
      </w:r>
      <w:bookmarkEnd w:id="98"/>
    </w:p>
    <w:p w14:paraId="5CCDD4AD" w14:textId="4F0806E2" w:rsidR="00F17A89" w:rsidRPr="005C158A" w:rsidRDefault="00F17A89"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Zmiana w </w:t>
      </w:r>
      <w:r w:rsidRPr="005C158A">
        <w:rPr>
          <w:rFonts w:ascii="Arial" w:hAnsi="Arial" w:cs="Arial"/>
          <w:b/>
          <w:bCs/>
          <w:sz w:val="20"/>
          <w:szCs w:val="20"/>
        </w:rPr>
        <w:t>art. 11</w:t>
      </w:r>
      <w:r w:rsidRPr="005C158A">
        <w:rPr>
          <w:rFonts w:ascii="Arial" w:hAnsi="Arial" w:cs="Arial"/>
          <w:sz w:val="20"/>
          <w:szCs w:val="20"/>
        </w:rPr>
        <w:t xml:space="preserve"> ustawy o zarządzie sukcesyjnym ma na celu usunięcie wątpliwości w zakresie możliwości powoływania kolejnych zarządców sukcesyjnych za życia przedsiębiorcy. Obecne brzmienie przepisu sugeruje, że w przypadku np. śmierci osoby powołanej na zarządcę sukcesyjnego za życia przedsiębiorcy, przedsiębiorca ten nie może powołać kolejnego zarządcy sukcesyjnego, a taka możliwość pojawia się tylko po jego śmierci, zgodnie z art. 12 ustawy o zarządzie sukcesyjnym. Po usunięciu przepisu, przedsiębiorca będzie mógł wskazywać kolejne osoby według uznania lub konieczności. W przypadku natomiast śmierci przedsiębiorcy, uprawnienie to w dalszym ciągu będzie przysługiwać spadkobiercom.</w:t>
      </w:r>
    </w:p>
    <w:p w14:paraId="5F64E090" w14:textId="185E4826" w:rsidR="00F17A89" w:rsidRPr="005C158A" w:rsidRDefault="00F17A89"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Pr="005C158A">
        <w:rPr>
          <w:rFonts w:ascii="Arial" w:hAnsi="Arial" w:cs="Arial"/>
          <w:b/>
          <w:bCs/>
          <w:sz w:val="20"/>
          <w:szCs w:val="20"/>
        </w:rPr>
        <w:t>art. 12</w:t>
      </w:r>
      <w:r w:rsidRPr="005C158A">
        <w:rPr>
          <w:rFonts w:ascii="Arial" w:hAnsi="Arial" w:cs="Arial"/>
          <w:sz w:val="20"/>
          <w:szCs w:val="20"/>
        </w:rPr>
        <w:t xml:space="preserve"> ustawy o zarządzie sukcesyjnym proponuje się zmniejszenie liczby spadkobierców, którzy mogą powołać zarządcę sukcesyjnego po śmierci przedsiębiorcy. Dotychczasowa liczba, więcej niż 85/100 osób, którym łącznie przysługuje udział w przedsiębiorstwie w spadku, okazuje się zbyt wygórowana w przypadku np. konfliktów w rodzinie. Proponuje się, by zgoda na powołanie zarządcy sukcesyjnego była wymagana od </w:t>
      </w:r>
      <w:r w:rsidR="009A4100" w:rsidRPr="005C158A">
        <w:rPr>
          <w:rFonts w:ascii="Arial" w:hAnsi="Arial" w:cs="Arial"/>
          <w:sz w:val="20"/>
          <w:szCs w:val="20"/>
        </w:rPr>
        <w:t xml:space="preserve">powyżej </w:t>
      </w:r>
      <w:r w:rsidR="00DD20B3" w:rsidRPr="005C158A">
        <w:rPr>
          <w:rFonts w:ascii="Arial" w:hAnsi="Arial" w:cs="Arial"/>
          <w:sz w:val="20"/>
          <w:szCs w:val="20"/>
        </w:rPr>
        <w:t>75/100</w:t>
      </w:r>
      <w:r w:rsidRPr="005C158A">
        <w:rPr>
          <w:rFonts w:ascii="Arial" w:hAnsi="Arial" w:cs="Arial"/>
          <w:sz w:val="20"/>
          <w:szCs w:val="20"/>
        </w:rPr>
        <w:t xml:space="preserve"> spadkobierców.</w:t>
      </w:r>
    </w:p>
    <w:p w14:paraId="3C07EDD9" w14:textId="77777777" w:rsidR="00F17A89" w:rsidRPr="005C158A" w:rsidRDefault="00F17A89"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w:t>
      </w:r>
      <w:r w:rsidRPr="005C158A">
        <w:rPr>
          <w:rFonts w:ascii="Arial" w:hAnsi="Arial" w:cs="Arial"/>
          <w:b/>
          <w:bCs/>
          <w:sz w:val="20"/>
          <w:szCs w:val="20"/>
        </w:rPr>
        <w:t>art. 26</w:t>
      </w:r>
      <w:r w:rsidRPr="005C158A">
        <w:rPr>
          <w:rFonts w:ascii="Arial" w:hAnsi="Arial" w:cs="Arial"/>
          <w:sz w:val="20"/>
          <w:szCs w:val="20"/>
        </w:rPr>
        <w:t xml:space="preserve"> ustawy o zarządzie sukcesyjnym doprecyzowano, że zarządca sukcesyjny może pełnić swoją funkcję za wynagrodzeniem. Dotychczas pojawiały się wątpliwości, czy wymagane jest wynagrodzenie nawet w przypadku, gdy zarządcą sukcesyjnym zostaje np. małżonek zmarłego przedsiębiorcy i który nie chce wypłacać sam sobie wynagrodzenia za pełnioną funkcję.</w:t>
      </w:r>
    </w:p>
    <w:p w14:paraId="1305C928" w14:textId="484D7281" w:rsidR="00AF2B14" w:rsidRPr="005C158A" w:rsidRDefault="00AF2B14" w:rsidP="00AF2B14">
      <w:pPr>
        <w:spacing w:before="120" w:after="120" w:line="360" w:lineRule="auto"/>
        <w:jc w:val="both"/>
        <w:rPr>
          <w:rFonts w:ascii="Arial" w:hAnsi="Arial" w:cs="Arial"/>
          <w:sz w:val="20"/>
          <w:szCs w:val="20"/>
        </w:rPr>
      </w:pPr>
      <w:r w:rsidRPr="005C158A">
        <w:rPr>
          <w:rFonts w:ascii="Arial" w:hAnsi="Arial" w:cs="Arial"/>
          <w:sz w:val="20"/>
          <w:szCs w:val="20"/>
        </w:rPr>
        <w:t xml:space="preserve">Zmiana w </w:t>
      </w:r>
      <w:r w:rsidRPr="005C158A">
        <w:rPr>
          <w:rFonts w:ascii="Arial" w:hAnsi="Arial" w:cs="Arial"/>
          <w:b/>
          <w:bCs/>
          <w:sz w:val="20"/>
          <w:szCs w:val="20"/>
        </w:rPr>
        <w:t>art. 13</w:t>
      </w:r>
      <w:r w:rsidRPr="005C158A">
        <w:rPr>
          <w:rFonts w:ascii="Arial" w:hAnsi="Arial" w:cs="Arial"/>
          <w:sz w:val="20"/>
          <w:szCs w:val="20"/>
        </w:rPr>
        <w:t xml:space="preserve"> ustawy o zarządzie sukcesyjnym ma na celu doprecyzowanie, kiedy stosuje się przepisy o czynnościach zachowawczych. Obecne brzmienie art. 13 ustawy odnosi się wyłącznie do okresu od śmieci przedsiębiorcy do powołania zarządcy sukcesyjnego albo upływu terminu na jego powołanie. Co prawda art. 58 ustawy o zarządzie sukcesyjnym wskazuje na odpowiednie stosowanie przepisów rozdziału 3 dotyczącego czynności zachowawczych w przypadku, gdy zabraknie zarządcy sukcesyjnego w trakcie trwania zarządu sukcesyjnego, jednak przepisem nie zostały objęte wszystkie działania w zakresie czynności zachowawczych. Wątpliwości mogą się pojawić np. w ramach stosowania art. 17 ustawy o zarządzie sukcesyjnym (stosowanie oznaczenia „w spadku”), czy też </w:t>
      </w:r>
      <w:r w:rsidRPr="005C158A">
        <w:rPr>
          <w:rFonts w:ascii="Arial" w:hAnsi="Arial" w:cs="Arial"/>
          <w:sz w:val="20"/>
          <w:szCs w:val="20"/>
        </w:rPr>
        <w:lastRenderedPageBreak/>
        <w:t>uprawnień dodawanych w ramach niniejszego projektu w zakresie dostępu do rachunku przez osoby, o których mowa w art. 14  ustawy o zarządzie sukcesyjnym.</w:t>
      </w:r>
    </w:p>
    <w:p w14:paraId="23F7D100" w14:textId="78D6D759" w:rsidR="00AF2B14" w:rsidRPr="005C158A" w:rsidRDefault="00AF2B14" w:rsidP="0011422D">
      <w:pPr>
        <w:spacing w:before="120" w:after="120" w:line="360" w:lineRule="auto"/>
        <w:jc w:val="both"/>
        <w:rPr>
          <w:rFonts w:ascii="Arial" w:hAnsi="Arial"/>
          <w:sz w:val="20"/>
        </w:rPr>
      </w:pPr>
      <w:r w:rsidRPr="005C158A">
        <w:rPr>
          <w:rFonts w:ascii="Arial" w:hAnsi="Arial" w:cs="Arial"/>
          <w:sz w:val="20"/>
          <w:szCs w:val="20"/>
        </w:rPr>
        <w:t xml:space="preserve">Uchylenie </w:t>
      </w:r>
      <w:r w:rsidRPr="005C158A">
        <w:rPr>
          <w:rFonts w:ascii="Arial" w:hAnsi="Arial" w:cs="Arial"/>
          <w:b/>
          <w:bCs/>
          <w:sz w:val="20"/>
          <w:szCs w:val="20"/>
        </w:rPr>
        <w:t>art. 58</w:t>
      </w:r>
      <w:r w:rsidRPr="005C158A">
        <w:rPr>
          <w:rFonts w:ascii="Arial" w:hAnsi="Arial" w:cs="Arial"/>
          <w:sz w:val="20"/>
          <w:szCs w:val="20"/>
        </w:rPr>
        <w:t xml:space="preserve"> ustawy o zarządzie sukcesyjnym jest konsekwencją zmiany wprowadzanej w art. 13, bowiem pozostawienie obu przepisów mogłoby stanowić </w:t>
      </w:r>
      <w:proofErr w:type="spellStart"/>
      <w:r w:rsidRPr="005C158A">
        <w:rPr>
          <w:rFonts w:ascii="Arial" w:hAnsi="Arial" w:cs="Arial"/>
          <w:sz w:val="20"/>
          <w:szCs w:val="20"/>
        </w:rPr>
        <w:t>superfluum</w:t>
      </w:r>
      <w:proofErr w:type="spellEnd"/>
      <w:r w:rsidRPr="005C158A">
        <w:rPr>
          <w:rFonts w:ascii="Arial" w:hAnsi="Arial" w:cs="Arial"/>
          <w:sz w:val="20"/>
          <w:szCs w:val="20"/>
        </w:rPr>
        <w:t xml:space="preserve"> w części uprawnień osób wykonujących czynności zachowawcze.</w:t>
      </w:r>
    </w:p>
    <w:p w14:paraId="173C6923" w14:textId="6BB86AED" w:rsidR="00F17A89" w:rsidRPr="005C158A" w:rsidRDefault="00F17A89"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Zmiana </w:t>
      </w:r>
      <w:r w:rsidRPr="005C158A">
        <w:rPr>
          <w:rFonts w:ascii="Arial" w:hAnsi="Arial" w:cs="Arial"/>
          <w:b/>
          <w:bCs/>
          <w:sz w:val="20"/>
          <w:szCs w:val="20"/>
        </w:rPr>
        <w:t>w art. 59</w:t>
      </w:r>
      <w:r w:rsidRPr="005C158A">
        <w:rPr>
          <w:rFonts w:ascii="Arial" w:hAnsi="Arial" w:cs="Arial"/>
          <w:sz w:val="20"/>
          <w:szCs w:val="20"/>
        </w:rPr>
        <w:t xml:space="preserve"> ustawy o zarządzie sukcesyjnym precyzuje, że nie ma możliwości przywrócenia zarządu sukcesyjnego po jego wygaśnięciu. Zarząd sukcesyjny jest rozwiązaniem tymczasowym, mającym umożliwić załatwienie przez spadkobierców spraw spadkowych i rozstrzygnięcie co do dalszych losów przedsiębiorstwa. Wygaśnięcie zarządu sukcesyjnego ma daleko idące skutki, zarówno w stosunku do pracowników, jak i kontrahentów, a także w zakresie obowiązków publiczno-prawnych. Przywracanie zarządu sukcesyjnego mogłoby negatywnie wpłynąć na pewność obrotu gospodarczego.</w:t>
      </w:r>
    </w:p>
    <w:p w14:paraId="6B13A246" w14:textId="3EE925D3" w:rsidR="0006198A" w:rsidRPr="005C158A" w:rsidRDefault="00F17A89"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Nowelizacja </w:t>
      </w:r>
      <w:r w:rsidRPr="005C158A">
        <w:rPr>
          <w:rFonts w:ascii="Arial" w:hAnsi="Arial" w:cs="Arial"/>
          <w:b/>
          <w:bCs/>
          <w:sz w:val="20"/>
          <w:szCs w:val="20"/>
        </w:rPr>
        <w:t>art. 60</w:t>
      </w:r>
      <w:r w:rsidRPr="005C158A">
        <w:rPr>
          <w:rFonts w:ascii="Arial" w:hAnsi="Arial" w:cs="Arial"/>
          <w:sz w:val="20"/>
          <w:szCs w:val="20"/>
        </w:rPr>
        <w:t xml:space="preserve"> ustawy o zarządzie sukcesyjnym jest związana z praktycznymi problemami w</w:t>
      </w:r>
      <w:r w:rsidR="00295358" w:rsidRPr="005C158A">
        <w:rPr>
          <w:rFonts w:ascii="Arial" w:hAnsi="Arial" w:cs="Arial"/>
          <w:sz w:val="20"/>
          <w:szCs w:val="20"/>
        </w:rPr>
        <w:t> </w:t>
      </w:r>
      <w:r w:rsidRPr="005C158A">
        <w:rPr>
          <w:rFonts w:ascii="Arial" w:hAnsi="Arial" w:cs="Arial"/>
          <w:sz w:val="20"/>
          <w:szCs w:val="20"/>
        </w:rPr>
        <w:t xml:space="preserve">funkcjonowaniu instytucji przedłużania zarządu sukcesyjnego. Wielokrotnie bowiem zdarzało się, że wniosek o przedłużenie zarządu sukcesyjnego był składany tuż przed jego wygaśnięciem, a sądy nie miały wystarczająco dużo czasu na wydanie postanowienia w tym zakresie. Dlatego też proponuje się, by zarząd sukcesyjny był przedłużany automatycznie do momentu wydania postanowienia przez sąd. W przypadku gdy sąd uzna, że celowe jest dalsze jego przedłużenie, zarząd sukcesyjny </w:t>
      </w:r>
      <w:r w:rsidR="0039208C" w:rsidRPr="005C158A">
        <w:rPr>
          <w:rFonts w:ascii="Arial" w:hAnsi="Arial" w:cs="Arial"/>
          <w:sz w:val="20"/>
          <w:szCs w:val="20"/>
        </w:rPr>
        <w:t xml:space="preserve">będzie </w:t>
      </w:r>
      <w:r w:rsidRPr="005C158A">
        <w:rPr>
          <w:rFonts w:ascii="Arial" w:hAnsi="Arial" w:cs="Arial"/>
          <w:sz w:val="20"/>
          <w:szCs w:val="20"/>
        </w:rPr>
        <w:t>trwał do momentu wyznaczonego przez sąd, chyba że wystąpią okoliczności, o których mowa w art. 59 ustawy o zarządzie sukcesyjnym.</w:t>
      </w:r>
    </w:p>
    <w:p w14:paraId="23C8AE48" w14:textId="7A908E67" w:rsidR="00C6646C" w:rsidRPr="005C158A" w:rsidRDefault="00C6646C" w:rsidP="009D388F">
      <w:pPr>
        <w:spacing w:before="120" w:after="120" w:line="360" w:lineRule="auto"/>
        <w:jc w:val="both"/>
        <w:rPr>
          <w:rFonts w:ascii="Arial" w:hAnsi="Arial" w:cs="Arial"/>
          <w:sz w:val="20"/>
          <w:szCs w:val="20"/>
        </w:rPr>
      </w:pPr>
      <w:r w:rsidRPr="005C158A">
        <w:rPr>
          <w:rFonts w:ascii="Arial" w:hAnsi="Arial" w:cs="Arial"/>
          <w:sz w:val="20"/>
          <w:szCs w:val="20"/>
        </w:rPr>
        <w:t xml:space="preserve">W wyniku powyższych zmian jest konieczne uzupełnienie również przyczyn wygaśnięcia zarządu sukcesyjnego trwającego dłużej niż dwa lata od śmierci przedsiębiorcy na skutek złożenia wniosku o przedłużenie zarządu sukcesyjnego, którego procedowanie przed sądem nie zakończyło się jego przedłużeniem. Proponuje się zatem dodać </w:t>
      </w:r>
      <w:r w:rsidRPr="005C158A">
        <w:rPr>
          <w:rFonts w:ascii="Arial" w:hAnsi="Arial" w:cs="Arial"/>
          <w:b/>
          <w:bCs/>
          <w:sz w:val="20"/>
          <w:szCs w:val="20"/>
        </w:rPr>
        <w:t>art. 60 ust. 3</w:t>
      </w:r>
      <w:r w:rsidRPr="005C158A">
        <w:rPr>
          <w:rFonts w:ascii="Arial" w:hAnsi="Arial" w:cs="Arial"/>
          <w:sz w:val="20"/>
          <w:szCs w:val="20"/>
        </w:rPr>
        <w:t>, zgodnie z którym zarząd sukcesyjny wygaśnie z dniem uprawomocnienia się postanowienia sądu o oddaleniu wniosku o przedłużenie zarządu sukcesyjnego albo postanowienia o umorzeniu postępowania w sprawie przedłużenia zarządu sukcesyjnego. W przypadku, gdy przed wydaniem ww. postanowień zajdą inne okoliczności wygaszające zarząd sukcesyjny, wymienione w art. 59 ust. 1 pkt 1-6 ustawy o zarządzie sukcesyjnym, zarząd sukcesyjny wygaśnie wcześniej. Podobna zasada obowiązuje w przypadku przedłużenia zarządu sukcesyjnego powyżej dwóch lat od śmierci przedsiębiorcy (art. 60 ust. 2).</w:t>
      </w:r>
    </w:p>
    <w:p w14:paraId="7E362D98" w14:textId="54C1DFC5" w:rsidR="00C21DF6" w:rsidRPr="005C158A" w:rsidRDefault="00C21DF6" w:rsidP="00C21DF6">
      <w:pPr>
        <w:pStyle w:val="Nagwek2"/>
        <w:spacing w:before="120" w:after="120" w:line="360" w:lineRule="auto"/>
        <w:jc w:val="both"/>
        <w:rPr>
          <w:rFonts w:ascii="Arial" w:hAnsi="Arial" w:cs="Arial"/>
          <w:color w:val="auto"/>
          <w:sz w:val="20"/>
          <w:szCs w:val="20"/>
        </w:rPr>
      </w:pPr>
      <w:bookmarkStart w:id="99" w:name="_Toc138329787"/>
      <w:r w:rsidRPr="005C158A">
        <w:rPr>
          <w:rFonts w:ascii="Arial" w:hAnsi="Arial" w:cs="Arial"/>
          <w:color w:val="auto"/>
          <w:sz w:val="20"/>
          <w:szCs w:val="20"/>
        </w:rPr>
        <w:t xml:space="preserve">Ustawa </w:t>
      </w:r>
      <w:bookmarkStart w:id="100" w:name="_Hlk131490582"/>
      <w:r w:rsidRPr="005C158A">
        <w:rPr>
          <w:rFonts w:ascii="Arial" w:hAnsi="Arial" w:cs="Arial"/>
          <w:color w:val="auto"/>
          <w:sz w:val="20"/>
          <w:szCs w:val="20"/>
        </w:rPr>
        <w:t>z dnia 19 lipca 2019 r. o systemie rekompensat dla sektorów i podsektorów energochłonnych</w:t>
      </w:r>
      <w:bookmarkEnd w:id="99"/>
      <w:bookmarkEnd w:id="100"/>
    </w:p>
    <w:p w14:paraId="34990B0D" w14:textId="48118424" w:rsidR="00C21DF6" w:rsidRPr="005C158A" w:rsidRDefault="00C21DF6" w:rsidP="009D388F">
      <w:pPr>
        <w:spacing w:before="120" w:after="120" w:line="360" w:lineRule="auto"/>
        <w:jc w:val="both"/>
        <w:rPr>
          <w:rFonts w:ascii="Arial" w:hAnsi="Arial" w:cs="Arial"/>
          <w:sz w:val="20"/>
          <w:szCs w:val="20"/>
        </w:rPr>
      </w:pPr>
      <w:r w:rsidRPr="005C158A">
        <w:rPr>
          <w:rFonts w:ascii="Arial" w:hAnsi="Arial" w:cs="Arial"/>
          <w:sz w:val="20"/>
          <w:szCs w:val="20"/>
        </w:rPr>
        <w:t xml:space="preserve">Zgodnie z projektowanymi zmianami ustawy przewiduje się możliwość finansowania z Funduszu Rekompensat Pośrednich Kosztów Emisji programów ministra właściwego do spraw gospodarki, o których mowa w art. 1 pkt 3 ustawy z dnia 30 maja 2008 r. o niektórych formach wspierania działalności innowacyjnej (Dz. U. z 2022 r. poz. 2474). Programy te będą mogły dotyczyć obszarów wskazanych w art. 21a pkt 1) oraz 6) ww. ustawy. Wsparcie finansowe w ramach tych programów może być przeznaczone m.in. na pomoc dla przedsiębiorców w realizacji projektów wdrożeniowych innowacji procesowych i organizacyjnych wprowadzanych przez przedsiębiorców czy rozwój innowacyjności. </w:t>
      </w:r>
      <w:r w:rsidRPr="005C158A">
        <w:rPr>
          <w:rFonts w:ascii="Arial" w:hAnsi="Arial" w:cs="Arial"/>
          <w:sz w:val="20"/>
          <w:szCs w:val="20"/>
        </w:rPr>
        <w:lastRenderedPageBreak/>
        <w:t xml:space="preserve">Zakłada się, że środki pochodzące z Funduszu Rekompensat Pośrednich Kosztów Emisji będą przeznaczone na realizację programów, których beneficjentami będą przedsiębiorcy wprowadzający innowacyjne rozwiązania związane z transformacją niskoemisyjną. </w:t>
      </w:r>
    </w:p>
    <w:p w14:paraId="65CA3999" w14:textId="77777777" w:rsidR="00F3131D" w:rsidRPr="005C158A" w:rsidRDefault="00F3131D" w:rsidP="00F3131D">
      <w:pPr>
        <w:pStyle w:val="Nagwek2"/>
        <w:spacing w:before="120" w:after="120" w:line="360" w:lineRule="auto"/>
        <w:jc w:val="both"/>
        <w:rPr>
          <w:rFonts w:ascii="Arial" w:hAnsi="Arial" w:cs="Arial"/>
          <w:color w:val="auto"/>
          <w:sz w:val="20"/>
          <w:szCs w:val="20"/>
        </w:rPr>
      </w:pPr>
      <w:bookmarkStart w:id="101" w:name="_Toc132054026"/>
      <w:bookmarkStart w:id="102" w:name="_Toc138329788"/>
      <w:r w:rsidRPr="005C158A">
        <w:rPr>
          <w:rFonts w:ascii="Arial" w:hAnsi="Arial" w:cs="Arial"/>
          <w:color w:val="auto"/>
          <w:sz w:val="20"/>
          <w:szCs w:val="20"/>
        </w:rPr>
        <w:t>Ustawa z dnia 11 września 2019 r. – Prawo zamówień publicznych oraz ustawa z dnia 21 października 2016 r. o umowie koncesji na roboty budowlane lub usługi</w:t>
      </w:r>
      <w:bookmarkEnd w:id="101"/>
      <w:bookmarkEnd w:id="102"/>
    </w:p>
    <w:p w14:paraId="1A108F15" w14:textId="3059F531"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Projekt przewiduje zmian</w:t>
      </w:r>
      <w:r w:rsidR="00F07E76" w:rsidRPr="005C158A">
        <w:rPr>
          <w:rFonts w:ascii="Arial" w:hAnsi="Arial" w:cs="Arial"/>
          <w:sz w:val="20"/>
          <w:szCs w:val="20"/>
        </w:rPr>
        <w:t>ę</w:t>
      </w:r>
      <w:r w:rsidRPr="005C158A">
        <w:rPr>
          <w:rFonts w:ascii="Arial" w:hAnsi="Arial" w:cs="Arial"/>
          <w:sz w:val="20"/>
          <w:szCs w:val="20"/>
        </w:rPr>
        <w:t xml:space="preserve"> porządkując</w:t>
      </w:r>
      <w:r w:rsidR="00F07E76" w:rsidRPr="005C158A">
        <w:rPr>
          <w:rFonts w:ascii="Arial" w:hAnsi="Arial" w:cs="Arial"/>
          <w:sz w:val="20"/>
          <w:szCs w:val="20"/>
        </w:rPr>
        <w:t>ą</w:t>
      </w:r>
      <w:r w:rsidRPr="005C158A">
        <w:rPr>
          <w:rFonts w:ascii="Arial" w:hAnsi="Arial" w:cs="Arial"/>
          <w:sz w:val="20"/>
          <w:szCs w:val="20"/>
        </w:rPr>
        <w:t xml:space="preserve"> i usprawniając</w:t>
      </w:r>
      <w:r w:rsidR="00F07E76" w:rsidRPr="005C158A">
        <w:rPr>
          <w:rFonts w:ascii="Arial" w:hAnsi="Arial" w:cs="Arial"/>
          <w:sz w:val="20"/>
          <w:szCs w:val="20"/>
        </w:rPr>
        <w:t>ą</w:t>
      </w:r>
      <w:r w:rsidRPr="005C158A">
        <w:rPr>
          <w:rFonts w:ascii="Arial" w:hAnsi="Arial" w:cs="Arial"/>
          <w:sz w:val="20"/>
          <w:szCs w:val="20"/>
        </w:rPr>
        <w:t xml:space="preserve"> stosowanie ustawy z dnia 11 września 2019 r. – Prawo zamówień publicznych (dalej: </w:t>
      </w:r>
      <w:proofErr w:type="spellStart"/>
      <w:r w:rsidRPr="005C158A">
        <w:rPr>
          <w:rFonts w:ascii="Arial" w:hAnsi="Arial" w:cs="Arial"/>
          <w:sz w:val="20"/>
          <w:szCs w:val="20"/>
        </w:rPr>
        <w:t>Pzp</w:t>
      </w:r>
      <w:proofErr w:type="spellEnd"/>
      <w:r w:rsidRPr="005C158A">
        <w:rPr>
          <w:rFonts w:ascii="Arial" w:hAnsi="Arial" w:cs="Arial"/>
          <w:sz w:val="20"/>
          <w:szCs w:val="20"/>
        </w:rPr>
        <w:t>)</w:t>
      </w:r>
      <w:r w:rsidR="00F07E76" w:rsidRPr="005C158A">
        <w:rPr>
          <w:rFonts w:ascii="Arial" w:hAnsi="Arial" w:cs="Arial"/>
          <w:sz w:val="20"/>
          <w:szCs w:val="20"/>
        </w:rPr>
        <w:t>,, która</w:t>
      </w:r>
      <w:r w:rsidRPr="005C158A">
        <w:rPr>
          <w:rFonts w:ascii="Arial" w:hAnsi="Arial" w:cs="Arial"/>
          <w:sz w:val="20"/>
          <w:szCs w:val="20"/>
        </w:rPr>
        <w:t xml:space="preserve"> dotyczy kwestii wyłączenia stosowania </w:t>
      </w:r>
      <w:proofErr w:type="spellStart"/>
      <w:r w:rsidRPr="005C158A">
        <w:rPr>
          <w:rFonts w:ascii="Arial" w:hAnsi="Arial" w:cs="Arial"/>
          <w:sz w:val="20"/>
          <w:szCs w:val="20"/>
        </w:rPr>
        <w:t>Pzp</w:t>
      </w:r>
      <w:proofErr w:type="spellEnd"/>
      <w:r w:rsidRPr="005C158A">
        <w:rPr>
          <w:rFonts w:ascii="Arial" w:hAnsi="Arial" w:cs="Arial"/>
          <w:sz w:val="20"/>
          <w:szCs w:val="20"/>
        </w:rPr>
        <w:t xml:space="preserve"> w odniesieniu do zamówień, których przedmiotem są pożyczki lub kredyty (art. </w:t>
      </w:r>
      <w:r w:rsidRPr="005C158A">
        <w:rPr>
          <w:rFonts w:ascii="Arial" w:hAnsi="Arial" w:cs="Arial"/>
          <w:b/>
          <w:bCs/>
          <w:sz w:val="20"/>
          <w:szCs w:val="20"/>
        </w:rPr>
        <w:t>11 ust. 1 pkt 8</w:t>
      </w:r>
      <w:r w:rsidRPr="005C158A">
        <w:rPr>
          <w:rFonts w:ascii="Arial" w:hAnsi="Arial" w:cs="Arial"/>
          <w:sz w:val="20"/>
          <w:szCs w:val="20"/>
        </w:rPr>
        <w:t xml:space="preserve"> </w:t>
      </w:r>
      <w:proofErr w:type="spellStart"/>
      <w:r w:rsidRPr="005C158A">
        <w:rPr>
          <w:rFonts w:ascii="Arial" w:hAnsi="Arial" w:cs="Arial"/>
          <w:sz w:val="20"/>
          <w:szCs w:val="20"/>
        </w:rPr>
        <w:t>Pzp</w:t>
      </w:r>
      <w:proofErr w:type="spellEnd"/>
      <w:r w:rsidRPr="005C158A">
        <w:rPr>
          <w:rFonts w:ascii="Arial" w:hAnsi="Arial" w:cs="Arial"/>
          <w:sz w:val="20"/>
          <w:szCs w:val="20"/>
        </w:rPr>
        <w:t>)</w:t>
      </w:r>
      <w:r w:rsidR="00F07E76" w:rsidRPr="005C158A">
        <w:rPr>
          <w:rFonts w:ascii="Arial" w:hAnsi="Arial" w:cs="Arial"/>
          <w:sz w:val="20"/>
          <w:szCs w:val="20"/>
        </w:rPr>
        <w:t xml:space="preserve">, oraz zmianę dostosowującą </w:t>
      </w:r>
      <w:proofErr w:type="spellStart"/>
      <w:r w:rsidR="00F07E76" w:rsidRPr="005C158A">
        <w:rPr>
          <w:rFonts w:ascii="Arial" w:hAnsi="Arial" w:cs="Arial"/>
          <w:sz w:val="20"/>
          <w:szCs w:val="20"/>
        </w:rPr>
        <w:t>Pzp</w:t>
      </w:r>
      <w:proofErr w:type="spellEnd"/>
      <w:r w:rsidR="00F07E76" w:rsidRPr="005C158A">
        <w:rPr>
          <w:rFonts w:ascii="Arial" w:hAnsi="Arial" w:cs="Arial"/>
          <w:sz w:val="20"/>
          <w:szCs w:val="20"/>
        </w:rPr>
        <w:t xml:space="preserve"> do rozporządzenia wykonawczego Komisji (UE) 2019/1780 z dnia 23 września 2019 r. ustanawiającego standardowe formularze do publikacji ogłoszeń w dziedzinie zamówień publicznych i uchylającego rozporządzenie wykonawcze (UE) 2015/1986 („e-formularze”)</w:t>
      </w:r>
      <w:r w:rsidRPr="005C158A">
        <w:rPr>
          <w:rFonts w:ascii="Arial" w:hAnsi="Arial" w:cs="Arial"/>
          <w:sz w:val="20"/>
          <w:szCs w:val="20"/>
        </w:rPr>
        <w:t>.</w:t>
      </w:r>
    </w:p>
    <w:p w14:paraId="084DCCB5" w14:textId="77777777" w:rsidR="00F3131D" w:rsidRPr="005C158A" w:rsidRDefault="00F3131D" w:rsidP="00DC6DF4">
      <w:pPr>
        <w:pStyle w:val="Akapitzlist"/>
        <w:numPr>
          <w:ilvl w:val="0"/>
          <w:numId w:val="4"/>
        </w:numPr>
        <w:spacing w:before="120" w:after="120" w:line="360" w:lineRule="auto"/>
        <w:ind w:left="0" w:firstLine="0"/>
        <w:jc w:val="both"/>
        <w:rPr>
          <w:rFonts w:ascii="Arial" w:hAnsi="Arial" w:cs="Arial"/>
          <w:bCs/>
          <w:sz w:val="20"/>
          <w:szCs w:val="20"/>
        </w:rPr>
      </w:pPr>
      <w:r w:rsidRPr="005C158A">
        <w:rPr>
          <w:rFonts w:ascii="Arial" w:hAnsi="Arial" w:cs="Arial"/>
          <w:bCs/>
          <w:sz w:val="20"/>
          <w:szCs w:val="20"/>
        </w:rPr>
        <w:t xml:space="preserve">Zmiana art. 11 ust. 1 pkt 8 oraz dodanie pkt 8a ustawy </w:t>
      </w:r>
      <w:proofErr w:type="spellStart"/>
      <w:r w:rsidRPr="005C158A">
        <w:rPr>
          <w:rFonts w:ascii="Arial" w:hAnsi="Arial" w:cs="Arial"/>
          <w:sz w:val="20"/>
          <w:szCs w:val="20"/>
        </w:rPr>
        <w:t>Pzp</w:t>
      </w:r>
      <w:proofErr w:type="spellEnd"/>
      <w:r w:rsidRPr="005C158A">
        <w:rPr>
          <w:rFonts w:ascii="Arial" w:hAnsi="Arial" w:cs="Arial"/>
          <w:bCs/>
          <w:sz w:val="20"/>
          <w:szCs w:val="20"/>
        </w:rPr>
        <w:t>.</w:t>
      </w:r>
    </w:p>
    <w:p w14:paraId="2BB2F873" w14:textId="2FF95E04"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Zgodnie z obowiązującym brzmieniem art. 11 ust. 1 pkt 8, spod stosowania </w:t>
      </w:r>
      <w:proofErr w:type="spellStart"/>
      <w:r w:rsidRPr="005C158A">
        <w:rPr>
          <w:rFonts w:ascii="Arial" w:hAnsi="Arial" w:cs="Arial"/>
          <w:sz w:val="20"/>
          <w:szCs w:val="20"/>
        </w:rPr>
        <w:t>Pzp</w:t>
      </w:r>
      <w:proofErr w:type="spellEnd"/>
      <w:r w:rsidRPr="005C158A">
        <w:rPr>
          <w:rFonts w:ascii="Arial" w:hAnsi="Arial" w:cs="Arial"/>
          <w:sz w:val="20"/>
          <w:szCs w:val="20"/>
        </w:rPr>
        <w:t xml:space="preserve"> wyłączone są pożyczki lub kredyty, bez względu na to, czy wiążą się one z emisją, sprzedażą, kupnem lub zbyciem papierów wartościowych lub innych instrumentów finansowych w rozumieniu ustawy z dnia 29 lipca 2005 r. o obrocie instrumentami finansowymi, z wyjątkiem kredytów zaciąganych przez jednostki samorządu terytorialnego w ramach limitów zobowiązań określonych w uchwale budżetowej. Tym samym, w obecnym stanie prawnym, stosowaniem </w:t>
      </w:r>
      <w:proofErr w:type="spellStart"/>
      <w:r w:rsidRPr="005C158A">
        <w:rPr>
          <w:rFonts w:ascii="Arial" w:hAnsi="Arial" w:cs="Arial"/>
          <w:sz w:val="20"/>
          <w:szCs w:val="20"/>
        </w:rPr>
        <w:t>Pzp</w:t>
      </w:r>
      <w:proofErr w:type="spellEnd"/>
      <w:r w:rsidRPr="005C158A">
        <w:rPr>
          <w:rFonts w:ascii="Arial" w:hAnsi="Arial" w:cs="Arial"/>
          <w:sz w:val="20"/>
          <w:szCs w:val="20"/>
        </w:rPr>
        <w:t xml:space="preserve"> objęte są kredyty udzielane przez banki na rzecz jednostek samorządu terytorialnego w ramach limitów zobowiązań określonych w uchwale budżetowej, natomiast stosowaniem tym nie zostały objęte pożyczki zaciągane przez jednostki samorządu terytorialnego, w tym w instytucjach pożyczkowych</w:t>
      </w:r>
      <w:r w:rsidR="003D69AF" w:rsidRPr="005C158A">
        <w:rPr>
          <w:rFonts w:ascii="Arial" w:hAnsi="Arial" w:cs="Arial"/>
          <w:sz w:val="20"/>
          <w:szCs w:val="20"/>
        </w:rPr>
        <w:t>, finansowane wyłącznie ze środków prywatnych</w:t>
      </w:r>
      <w:r w:rsidRPr="005C158A">
        <w:rPr>
          <w:rFonts w:ascii="Arial" w:hAnsi="Arial" w:cs="Arial"/>
          <w:sz w:val="20"/>
          <w:szCs w:val="20"/>
        </w:rPr>
        <w:t>.</w:t>
      </w:r>
    </w:p>
    <w:p w14:paraId="0BF20C34"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Powyższe zróżnicowanie stosowania </w:t>
      </w:r>
      <w:proofErr w:type="spellStart"/>
      <w:r w:rsidRPr="005C158A">
        <w:rPr>
          <w:rFonts w:ascii="Arial" w:hAnsi="Arial" w:cs="Arial"/>
          <w:sz w:val="20"/>
          <w:szCs w:val="20"/>
        </w:rPr>
        <w:t>Pzp</w:t>
      </w:r>
      <w:proofErr w:type="spellEnd"/>
      <w:r w:rsidRPr="005C158A">
        <w:rPr>
          <w:rFonts w:ascii="Arial" w:hAnsi="Arial" w:cs="Arial"/>
          <w:sz w:val="20"/>
          <w:szCs w:val="20"/>
        </w:rPr>
        <w:t xml:space="preserve"> do udzielania kredytu jako czynnością przewidzianą wyłącznie dla banku, a pożyczką, która może być udzielona zarówno przez bank, inną instytucję finansową, czy nawet osobę fizyczną, nie znajduje uzasadnienia ani w przepisach unijnych ani w regulacjach krajowych. </w:t>
      </w:r>
    </w:p>
    <w:p w14:paraId="41652599" w14:textId="1BC514F1" w:rsidR="003D69AF"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Jednocześnie, projekt przewiduje dodanie pkt 8a w art. 11 ust. 1 </w:t>
      </w:r>
      <w:proofErr w:type="spellStart"/>
      <w:r w:rsidRPr="005C158A">
        <w:rPr>
          <w:rFonts w:ascii="Arial" w:hAnsi="Arial" w:cs="Arial"/>
          <w:sz w:val="20"/>
          <w:szCs w:val="20"/>
        </w:rPr>
        <w:t>Pzp</w:t>
      </w:r>
      <w:proofErr w:type="spellEnd"/>
      <w:r w:rsidRPr="005C158A">
        <w:rPr>
          <w:rFonts w:ascii="Arial" w:hAnsi="Arial" w:cs="Arial"/>
          <w:sz w:val="20"/>
          <w:szCs w:val="20"/>
        </w:rPr>
        <w:t xml:space="preserve">., którego celem jest pozostawienie niezmienionego stanu prawnego w zakresie wyłączenia spod stosowania </w:t>
      </w:r>
      <w:proofErr w:type="spellStart"/>
      <w:r w:rsidRPr="005C158A">
        <w:rPr>
          <w:rFonts w:ascii="Arial" w:hAnsi="Arial" w:cs="Arial"/>
          <w:sz w:val="20"/>
          <w:szCs w:val="20"/>
        </w:rPr>
        <w:t>Pzp</w:t>
      </w:r>
      <w:proofErr w:type="spellEnd"/>
      <w:r w:rsidRPr="005C158A">
        <w:rPr>
          <w:rFonts w:ascii="Arial" w:hAnsi="Arial" w:cs="Arial"/>
          <w:sz w:val="20"/>
          <w:szCs w:val="20"/>
        </w:rPr>
        <w:t xml:space="preserve"> w przypadku pożyczek zaciąganych przez jednostki samorządu terytorialnego w ramach limitów zobowiązań określonych w uchwale budżetowej,</w:t>
      </w:r>
      <w:r w:rsidR="003D69AF" w:rsidRPr="005C158A">
        <w:rPr>
          <w:rFonts w:ascii="Arial" w:hAnsi="Arial" w:cs="Arial"/>
          <w:sz w:val="20"/>
          <w:szCs w:val="20"/>
        </w:rPr>
        <w:t xml:space="preserve"> finansowanych ze środków publicznych, w tym środków europejskich, a także ze środków pochodzących z europejskich lub międzynarodowych instytucji finansujących(w tym zaciąganych</w:t>
      </w:r>
      <w:r w:rsidRPr="005C158A">
        <w:rPr>
          <w:rFonts w:ascii="Arial" w:hAnsi="Arial" w:cs="Arial"/>
          <w:sz w:val="20"/>
          <w:szCs w:val="20"/>
        </w:rPr>
        <w:t xml:space="preserve"> zgodnie z art. 90 ustawy z dnia 27 sierpnia 2009 r. o finansach publicznych</w:t>
      </w:r>
      <w:r w:rsidR="003D69AF" w:rsidRPr="005C158A">
        <w:rPr>
          <w:rFonts w:ascii="Arial" w:hAnsi="Arial" w:cs="Arial"/>
          <w:sz w:val="20"/>
          <w:szCs w:val="20"/>
        </w:rPr>
        <w:t>)</w:t>
      </w:r>
      <w:r w:rsidRPr="005C158A">
        <w:rPr>
          <w:rFonts w:ascii="Arial" w:hAnsi="Arial" w:cs="Arial"/>
          <w:sz w:val="20"/>
          <w:szCs w:val="20"/>
        </w:rPr>
        <w:t>.</w:t>
      </w:r>
      <w:r w:rsidR="003D69AF" w:rsidRPr="005C158A">
        <w:rPr>
          <w:rFonts w:ascii="Arial" w:hAnsi="Arial" w:cs="Arial"/>
          <w:sz w:val="20"/>
          <w:szCs w:val="20"/>
        </w:rPr>
        <w:t xml:space="preserve"> </w:t>
      </w:r>
      <w:r w:rsidR="0015096C" w:rsidRPr="005C158A">
        <w:rPr>
          <w:rFonts w:ascii="Arial" w:hAnsi="Arial" w:cs="Arial"/>
          <w:sz w:val="20"/>
          <w:szCs w:val="20"/>
        </w:rPr>
        <w:t>Wśród</w:t>
      </w:r>
      <w:r w:rsidR="003D69AF" w:rsidRPr="005C158A">
        <w:rPr>
          <w:rFonts w:ascii="Arial" w:hAnsi="Arial" w:cs="Arial"/>
          <w:sz w:val="20"/>
          <w:szCs w:val="20"/>
        </w:rPr>
        <w:t xml:space="preserve"> zamówień wyłączonych spod stosowania </w:t>
      </w:r>
      <w:proofErr w:type="spellStart"/>
      <w:r w:rsidR="003D69AF" w:rsidRPr="005C158A">
        <w:rPr>
          <w:rFonts w:ascii="Arial" w:hAnsi="Arial" w:cs="Arial"/>
          <w:sz w:val="20"/>
          <w:szCs w:val="20"/>
        </w:rPr>
        <w:t>Pzp</w:t>
      </w:r>
      <w:proofErr w:type="spellEnd"/>
      <w:r w:rsidR="003D69AF" w:rsidRPr="005C158A">
        <w:rPr>
          <w:rFonts w:ascii="Arial" w:hAnsi="Arial" w:cs="Arial"/>
          <w:sz w:val="20"/>
          <w:szCs w:val="20"/>
        </w:rPr>
        <w:t xml:space="preserve"> </w:t>
      </w:r>
      <w:r w:rsidR="0015096C" w:rsidRPr="005C158A">
        <w:rPr>
          <w:rFonts w:ascii="Arial" w:hAnsi="Arial" w:cs="Arial"/>
          <w:sz w:val="20"/>
          <w:szCs w:val="20"/>
        </w:rPr>
        <w:t>wskazano również zamówienia, których przedmiotem są</w:t>
      </w:r>
      <w:r w:rsidR="003D69AF" w:rsidRPr="005C158A">
        <w:rPr>
          <w:rFonts w:ascii="Arial" w:hAnsi="Arial" w:cs="Arial"/>
          <w:sz w:val="20"/>
          <w:szCs w:val="20"/>
        </w:rPr>
        <w:t xml:space="preserve"> pożyczki </w:t>
      </w:r>
      <w:r w:rsidR="0015096C" w:rsidRPr="005C158A">
        <w:rPr>
          <w:rFonts w:ascii="Arial" w:hAnsi="Arial" w:cs="Arial"/>
          <w:sz w:val="20"/>
          <w:szCs w:val="20"/>
        </w:rPr>
        <w:t>finansowane</w:t>
      </w:r>
      <w:r w:rsidR="003D69AF" w:rsidRPr="005C158A">
        <w:rPr>
          <w:rFonts w:ascii="Arial" w:hAnsi="Arial" w:cs="Arial"/>
          <w:sz w:val="20"/>
          <w:szCs w:val="20"/>
        </w:rPr>
        <w:t xml:space="preserve"> ze środków podmiotów, o których mowa w art. 2 pkt 3 Rozporządzenia Parlamentu Europejskiego i Rady (UE) 2015/1017 z dnia 25 czerwca 2015 r. w sprawie Europejskiego Funduszu na rzecz Inwestycji Strategicznych, Europejskiego Centrum Doradztwa Inwestycyjnego i Europejskiego Portalu Projektów Inwestycyjnych oraz zmieniającego rozporządzenia (UE) nr 1291/2013 i (UE) nr 1316/2013</w:t>
      </w:r>
      <w:r w:rsidR="0015096C" w:rsidRPr="005C158A">
        <w:rPr>
          <w:rFonts w:ascii="Arial" w:hAnsi="Arial" w:cs="Arial"/>
          <w:sz w:val="20"/>
          <w:szCs w:val="20"/>
        </w:rPr>
        <w:t>.</w:t>
      </w:r>
    </w:p>
    <w:p w14:paraId="14D337D0" w14:textId="1E074B06" w:rsidR="0015096C" w:rsidRPr="005C158A" w:rsidRDefault="0015096C" w:rsidP="00F3131D">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Tym samym, w nowym stanie prawnym </w:t>
      </w:r>
      <w:proofErr w:type="spellStart"/>
      <w:r w:rsidRPr="005C158A">
        <w:rPr>
          <w:rFonts w:ascii="Arial" w:hAnsi="Arial" w:cs="Arial"/>
          <w:sz w:val="20"/>
          <w:szCs w:val="20"/>
        </w:rPr>
        <w:t>Pzp</w:t>
      </w:r>
      <w:proofErr w:type="spellEnd"/>
      <w:r w:rsidRPr="005C158A">
        <w:rPr>
          <w:rFonts w:ascii="Arial" w:hAnsi="Arial" w:cs="Arial"/>
          <w:sz w:val="20"/>
          <w:szCs w:val="20"/>
        </w:rPr>
        <w:t xml:space="preserve"> będzie miało zastosowanie do udzielania zamówień, których przedmiotem są pożyczki nieobjęte zakresem normy uregulowanej w pkt 8a.</w:t>
      </w:r>
    </w:p>
    <w:p w14:paraId="193AF4E2" w14:textId="769BFC4A"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 </w:t>
      </w:r>
    </w:p>
    <w:p w14:paraId="05D14C5C" w14:textId="77777777" w:rsidR="00F3131D" w:rsidRPr="005C158A" w:rsidRDefault="00F3131D" w:rsidP="00DC6DF4">
      <w:pPr>
        <w:pStyle w:val="Akapitzlist"/>
        <w:numPr>
          <w:ilvl w:val="0"/>
          <w:numId w:val="4"/>
        </w:numPr>
        <w:spacing w:before="120" w:after="120" w:line="360" w:lineRule="auto"/>
        <w:ind w:left="0" w:firstLine="0"/>
        <w:jc w:val="both"/>
        <w:rPr>
          <w:rFonts w:ascii="Arial" w:hAnsi="Arial" w:cs="Arial"/>
          <w:sz w:val="20"/>
          <w:szCs w:val="20"/>
        </w:rPr>
      </w:pPr>
      <w:r w:rsidRPr="005C158A">
        <w:rPr>
          <w:rFonts w:ascii="Arial" w:hAnsi="Arial" w:cs="Arial"/>
          <w:sz w:val="20"/>
          <w:szCs w:val="20"/>
        </w:rPr>
        <w:t>Przepisy dostosowujące do zmiany rozporządzenia 2019/1780.</w:t>
      </w:r>
    </w:p>
    <w:p w14:paraId="496B191F"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Zmiany projektowane w art. 87 </w:t>
      </w:r>
      <w:proofErr w:type="spellStart"/>
      <w:r w:rsidRPr="005C158A">
        <w:rPr>
          <w:rFonts w:ascii="Arial" w:hAnsi="Arial" w:cs="Arial"/>
          <w:sz w:val="20"/>
          <w:szCs w:val="20"/>
        </w:rPr>
        <w:t>Pzp</w:t>
      </w:r>
      <w:proofErr w:type="spellEnd"/>
      <w:r w:rsidRPr="005C158A">
        <w:rPr>
          <w:rFonts w:ascii="Arial" w:hAnsi="Arial" w:cs="Arial"/>
          <w:sz w:val="20"/>
          <w:szCs w:val="20"/>
        </w:rPr>
        <w:t xml:space="preserve"> uzasadnione są </w:t>
      </w:r>
      <w:bookmarkStart w:id="103" w:name="_Hlk123741654"/>
      <w:r w:rsidRPr="005C158A">
        <w:rPr>
          <w:rFonts w:ascii="Arial" w:hAnsi="Arial" w:cs="Arial"/>
          <w:sz w:val="20"/>
          <w:szCs w:val="20"/>
        </w:rPr>
        <w:t>obowiązkiem stosowania od dnia 14 listopada 2022 r. rozporządzenia wykonawczego Komisji (UE) 2019/1780 z dnia 23 września 2019 r. ustanawiającego standardowe formularze do publikacji ogłoszeń w dziedzinie zamówień publicznych i uchylającego rozporządzenie wykonawcze (UE) 2015/1986 („e-formularze”) (Dz. Urz. UE L 272 z 25.10.2019, str. 7)</w:t>
      </w:r>
      <w:bookmarkEnd w:id="103"/>
      <w:r w:rsidRPr="005C158A">
        <w:rPr>
          <w:rFonts w:ascii="Arial" w:hAnsi="Arial" w:cs="Arial"/>
          <w:sz w:val="20"/>
          <w:szCs w:val="20"/>
        </w:rPr>
        <w:t xml:space="preserve"> [dalej: rozporządzenie 2019/1780]. Ponadto w dniu 15 grudnia 2022 r. weszło w życie </w:t>
      </w:r>
      <w:bookmarkStart w:id="104" w:name="_Hlk123742307"/>
      <w:r w:rsidRPr="005C158A">
        <w:rPr>
          <w:rFonts w:ascii="Arial" w:hAnsi="Arial" w:cs="Arial"/>
          <w:sz w:val="20"/>
          <w:szCs w:val="20"/>
        </w:rPr>
        <w:t xml:space="preserve">rozporządzenie wykonawcze Komisji (UE) 2022/2303 z dnia 24 listopada 2022 r. zmieniające rozporządzenie wykonawcze (UE) 2019/1780 ustanawiające standardowe formularze do publikacji ogłoszeń w dziedzinie zamówień publicznych </w:t>
      </w:r>
      <w:bookmarkStart w:id="105" w:name="_Hlk123741845"/>
      <w:r w:rsidRPr="005C158A">
        <w:rPr>
          <w:rFonts w:ascii="Arial" w:hAnsi="Arial" w:cs="Arial"/>
          <w:sz w:val="20"/>
          <w:szCs w:val="20"/>
        </w:rPr>
        <w:t>(Dz. Urz. UE L 305 z 25.11.2022, str. 12</w:t>
      </w:r>
      <w:bookmarkEnd w:id="105"/>
      <w:r w:rsidRPr="005C158A">
        <w:rPr>
          <w:rFonts w:ascii="Arial" w:hAnsi="Arial" w:cs="Arial"/>
          <w:sz w:val="20"/>
          <w:szCs w:val="20"/>
        </w:rPr>
        <w:t>)</w:t>
      </w:r>
      <w:bookmarkEnd w:id="104"/>
      <w:r w:rsidRPr="005C158A">
        <w:rPr>
          <w:rFonts w:ascii="Arial" w:hAnsi="Arial" w:cs="Arial"/>
          <w:sz w:val="20"/>
          <w:szCs w:val="20"/>
        </w:rPr>
        <w:t xml:space="preserve">. Na podstawie rozporządzenia zmieniającego, rozporządzenie wykonawcze Komisji (UE) 2015/1986 z dnia 11 listopada 2015 r. ustanawiające standardowe formularze do publikacji ogłoszeń w dziedzinie zamówień publicznych i uchylające rozporządzenie wykonawcze (UE) nr 842/2011 (Dz. Urz. UE L 296 z 12.11.2015, str. 1, z </w:t>
      </w:r>
      <w:proofErr w:type="spellStart"/>
      <w:r w:rsidRPr="005C158A">
        <w:rPr>
          <w:rFonts w:ascii="Arial" w:hAnsi="Arial" w:cs="Arial"/>
          <w:sz w:val="20"/>
          <w:szCs w:val="20"/>
        </w:rPr>
        <w:t>późn</w:t>
      </w:r>
      <w:proofErr w:type="spellEnd"/>
      <w:r w:rsidRPr="005C158A">
        <w:rPr>
          <w:rFonts w:ascii="Arial" w:hAnsi="Arial" w:cs="Arial"/>
          <w:sz w:val="20"/>
          <w:szCs w:val="20"/>
        </w:rPr>
        <w:t xml:space="preserve">. zm.) [dalej: rozporządzenie 2015/1986] straciło moc ze skutkiem od dnia 14 listopada 2022 r. Przy czym na podstawie dodanego przepisu przejściowego od dnia 14 listopada 2022 r. do dnia 24 października 2023 r. do publikacji ogłoszeń w Dzienniku Urzędowym Unii Europejskiej można stosować zarówno formularze ustanowione rozporządzeniem 2019/1780 (zmienionym rozporządzeniem 2022/2303), jak i formularze ustanowione rozporządzeniem 2015/1986. Jednocześnie Komisja Europejska udostępniła narzędzie elektroniczne umożliwiające korzystanie z nowych e-formularzy przy zamieszczaniu ogłoszeń w Dzienniku Urzędowym Unii Europejskiej. Jak wynika z powyższego, bezwzględny obowiązek stosowania nowych standardowych formularzy ogłoszeń określonych w rozporządzeniu 2019/1780 wejdzie w życie od dnia 25 października 2023 r., zaś do dnia 24 października 2023 r. zamawiający  mogą przygotowywać i publikować ogłoszenia zgodnie z wzorami dotychczasowych standardowych formularzy określonymi w rozporządzeniu 2015/1986 albo zgodnie z nowymi wzorami określonymi w rozporządzeniu 2019/1780. Aktualnie przepis art. 87 ust. 1 </w:t>
      </w:r>
      <w:proofErr w:type="spellStart"/>
      <w:r w:rsidRPr="005C158A">
        <w:rPr>
          <w:rFonts w:ascii="Arial" w:hAnsi="Arial" w:cs="Arial"/>
          <w:sz w:val="20"/>
          <w:szCs w:val="20"/>
        </w:rPr>
        <w:t>Pzp</w:t>
      </w:r>
      <w:proofErr w:type="spellEnd"/>
      <w:r w:rsidRPr="005C158A">
        <w:rPr>
          <w:rFonts w:ascii="Arial" w:hAnsi="Arial" w:cs="Arial"/>
          <w:sz w:val="20"/>
          <w:szCs w:val="20"/>
        </w:rPr>
        <w:t xml:space="preserve"> odsyła do nieobowiązującego już rozporządzenia 2015/1986, które w wyniku wejścia w życie rozporządzenia 2019/1780 (zmienionego rozporządzeniem 2022/2303) będzie mogło być stosowane najpóźniej do dnia 24 października 2023 r. W związku z powyższym konieczne jest uaktualnienie odesłania zawartego w art. 87 ust. 1 </w:t>
      </w:r>
      <w:proofErr w:type="spellStart"/>
      <w:r w:rsidRPr="005C158A">
        <w:rPr>
          <w:rFonts w:ascii="Arial" w:hAnsi="Arial" w:cs="Arial"/>
          <w:sz w:val="20"/>
          <w:szCs w:val="20"/>
        </w:rPr>
        <w:t>Pzp</w:t>
      </w:r>
      <w:proofErr w:type="spellEnd"/>
      <w:r w:rsidRPr="005C158A">
        <w:rPr>
          <w:rFonts w:ascii="Arial" w:hAnsi="Arial" w:cs="Arial"/>
          <w:sz w:val="20"/>
          <w:szCs w:val="20"/>
        </w:rPr>
        <w:t xml:space="preserve"> poprzez odesłanie do rozporządzenia 2019/1780 w miejsce odesłania do rozporządzenia 2015/1986. Przewiduje się, że zmiana w zakresie art. 87 ust. 1 </w:t>
      </w:r>
      <w:proofErr w:type="spellStart"/>
      <w:r w:rsidRPr="005C158A">
        <w:rPr>
          <w:rFonts w:ascii="Arial" w:hAnsi="Arial" w:cs="Arial"/>
          <w:sz w:val="20"/>
          <w:szCs w:val="20"/>
        </w:rPr>
        <w:t>Pzp</w:t>
      </w:r>
      <w:proofErr w:type="spellEnd"/>
      <w:r w:rsidRPr="005C158A">
        <w:rPr>
          <w:rFonts w:ascii="Arial" w:hAnsi="Arial" w:cs="Arial"/>
          <w:sz w:val="20"/>
          <w:szCs w:val="20"/>
        </w:rPr>
        <w:t xml:space="preserve"> wejdzie w życie z dniem następującym po dniu ogłoszenia, przy czym projekt ustawy zawiera regulację intertemporalną, w myśl której zamawiający najpóźniej do dnia 24 października 2023 r. mogą przygotowywać ogłoszenia zgodnie z wzorami standardowych formularzy, określonymi w rozporządzeniu 2015/1986. </w:t>
      </w:r>
    </w:p>
    <w:p w14:paraId="2CAFA0D7"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Stosownie do motywu 10 preambuły rozporządzenia 2019/1780, aby umożliwić wdrożenie rozwiązań dostosowanych do specyfiki krajowej, pozostawiono państwom członkowskim Unii Europejskiej pewną elastyczność w tworzeniu ich systemów oprogramowania. W szczególności uprawniono państwa członkowskie do wprowadzenia dodatkowych regulacji na poziomie krajowym tak, aby niektóre pola </w:t>
      </w:r>
      <w:r w:rsidRPr="005C158A">
        <w:rPr>
          <w:rFonts w:ascii="Arial" w:hAnsi="Arial" w:cs="Arial"/>
          <w:sz w:val="20"/>
          <w:szCs w:val="20"/>
        </w:rPr>
        <w:lastRenderedPageBreak/>
        <w:t xml:space="preserve">określone w rozporządzeniu 2019/1780 jako opcjonalne na poziomie Unii Europejskiej były przez zamawiających obowiązkowo wypełniane na poziomie krajowym. Wprowadzenie takiego rozwiązania na podstawie </w:t>
      </w:r>
      <w:proofErr w:type="spellStart"/>
      <w:r w:rsidRPr="005C158A">
        <w:rPr>
          <w:rFonts w:ascii="Arial" w:hAnsi="Arial" w:cs="Arial"/>
          <w:sz w:val="20"/>
          <w:szCs w:val="20"/>
        </w:rPr>
        <w:t>Pzp</w:t>
      </w:r>
      <w:proofErr w:type="spellEnd"/>
      <w:r w:rsidRPr="005C158A">
        <w:rPr>
          <w:rFonts w:ascii="Arial" w:hAnsi="Arial" w:cs="Arial"/>
          <w:sz w:val="20"/>
          <w:szCs w:val="20"/>
        </w:rPr>
        <w:t xml:space="preserve"> jest niezbędne w celu pozyskiwania kompleksowych i miarodajnych danych w szczególności w zakresie tzw. zielonych i społecznych zamówień publicznych m.in. na potrzeby wypełniania obowiązków sprawozdawczych względem organów Unii Europejskiej. </w:t>
      </w:r>
    </w:p>
    <w:p w14:paraId="68BA2521" w14:textId="77777777" w:rsidR="00F3131D" w:rsidRPr="005C158A" w:rsidRDefault="00F3131D" w:rsidP="00F3131D">
      <w:pPr>
        <w:spacing w:before="120" w:after="120" w:line="360" w:lineRule="auto"/>
        <w:jc w:val="both"/>
        <w:rPr>
          <w:rFonts w:ascii="Arial" w:hAnsi="Arial" w:cs="Arial"/>
          <w:sz w:val="20"/>
          <w:szCs w:val="20"/>
        </w:rPr>
      </w:pPr>
      <w:bookmarkStart w:id="106" w:name="_Hlk137038011"/>
      <w:r w:rsidRPr="005C158A">
        <w:rPr>
          <w:rFonts w:ascii="Arial" w:hAnsi="Arial" w:cs="Arial"/>
          <w:sz w:val="20"/>
          <w:szCs w:val="20"/>
        </w:rPr>
        <w:t xml:space="preserve">W związku z powyższym istnieje potrzeba wprowadzenia do ustawy </w:t>
      </w:r>
      <w:proofErr w:type="spellStart"/>
      <w:r w:rsidRPr="005C158A">
        <w:rPr>
          <w:rFonts w:ascii="Arial" w:hAnsi="Arial" w:cs="Arial"/>
          <w:sz w:val="20"/>
          <w:szCs w:val="20"/>
        </w:rPr>
        <w:t>Pzp</w:t>
      </w:r>
      <w:proofErr w:type="spellEnd"/>
      <w:r w:rsidRPr="005C158A">
        <w:rPr>
          <w:rFonts w:ascii="Arial" w:hAnsi="Arial" w:cs="Arial"/>
          <w:sz w:val="20"/>
          <w:szCs w:val="20"/>
        </w:rPr>
        <w:t xml:space="preserve"> delegacji uprawniającej ministra właściwego do spraw gospodarki do wydania rozporządzenia w sprawie dostosowania na szczeblu krajowym pól opcjonalnych e-formularzy w świetle rozporządzenia 2019/1780. Zgodnie więc z projektowanym art. 18 ust. 4 </w:t>
      </w:r>
      <w:proofErr w:type="spellStart"/>
      <w:r w:rsidRPr="005C158A">
        <w:rPr>
          <w:rFonts w:ascii="Arial" w:hAnsi="Arial" w:cs="Arial"/>
          <w:sz w:val="20"/>
          <w:szCs w:val="20"/>
        </w:rPr>
        <w:t>Pzp</w:t>
      </w:r>
      <w:proofErr w:type="spellEnd"/>
      <w:r w:rsidRPr="005C158A">
        <w:rPr>
          <w:rFonts w:ascii="Arial" w:hAnsi="Arial" w:cs="Arial"/>
          <w:sz w:val="20"/>
          <w:szCs w:val="20"/>
        </w:rPr>
        <w:t>, minister właściwy do spraw gospodarki określi, w drodze rozporządzenia, które z pól standardowych formularzy ogłoszeń, oznaczonych w załączniku do rozporządzenia 2019/1780 jako pola opcjonalne, będą obowiązkowo wypełniane, kierując się koniecznością uzyskania kompleksowych i miarodajnych danych na potrzeby wypełniania obowiązków sprawozdawczych, w szczególności względem organów Unii Europejskiej. Wypada przy tym dodać, że stosowne zobowiązanie informacyjne państw członkowskich względem Komisji Europejskiej wynika nie tylko z przepisów dyrektyw w sprawie zamówień publicznych (art. 83 dyrektywy 2014/24/UE</w:t>
      </w:r>
      <w:r w:rsidRPr="005C158A">
        <w:rPr>
          <w:rFonts w:ascii="Arial" w:hAnsi="Arial" w:cs="Arial"/>
          <w:sz w:val="20"/>
          <w:szCs w:val="20"/>
        </w:rPr>
        <w:footnoteReference w:id="8"/>
      </w:r>
      <w:r w:rsidRPr="005C158A">
        <w:rPr>
          <w:rFonts w:ascii="Arial" w:hAnsi="Arial" w:cs="Arial"/>
          <w:sz w:val="20"/>
          <w:szCs w:val="20"/>
        </w:rPr>
        <w:t>, art. 99 dyrektywy 2014/25/UE</w:t>
      </w:r>
      <w:r w:rsidRPr="005C158A">
        <w:rPr>
          <w:rFonts w:ascii="Arial" w:hAnsi="Arial" w:cs="Arial"/>
          <w:sz w:val="20"/>
          <w:szCs w:val="20"/>
        </w:rPr>
        <w:footnoteReference w:id="9"/>
      </w:r>
      <w:r w:rsidRPr="005C158A">
        <w:rPr>
          <w:rFonts w:ascii="Arial" w:hAnsi="Arial" w:cs="Arial"/>
          <w:sz w:val="20"/>
          <w:szCs w:val="20"/>
        </w:rPr>
        <w:t xml:space="preserve">), ale również z innych aktów prawnych Unii Europejskiej, w tym m.in. z art. 10 dyrektywy Parlamentu Europejskiego i Rady 2009/33/WE z dnia 23 kwietnia 2009 r. w sprawie promowania ekologicznie czystych i energooszczędnych pojazdów transportu drogowego (Dz. Urz. UE L 120 z 15.05.2009, str. 5, z </w:t>
      </w:r>
      <w:proofErr w:type="spellStart"/>
      <w:r w:rsidRPr="005C158A">
        <w:rPr>
          <w:rFonts w:ascii="Arial" w:hAnsi="Arial" w:cs="Arial"/>
          <w:sz w:val="20"/>
          <w:szCs w:val="20"/>
        </w:rPr>
        <w:t>późn</w:t>
      </w:r>
      <w:proofErr w:type="spellEnd"/>
      <w:r w:rsidRPr="005C158A">
        <w:rPr>
          <w:rFonts w:ascii="Arial" w:hAnsi="Arial" w:cs="Arial"/>
          <w:sz w:val="20"/>
          <w:szCs w:val="20"/>
        </w:rPr>
        <w:t>. zm.).</w:t>
      </w:r>
    </w:p>
    <w:p w14:paraId="71307791" w14:textId="77777777" w:rsidR="001728EB" w:rsidRPr="005C158A" w:rsidRDefault="001728EB" w:rsidP="001728EB">
      <w:pPr>
        <w:spacing w:before="120" w:after="120" w:line="360" w:lineRule="auto"/>
        <w:jc w:val="both"/>
        <w:rPr>
          <w:rFonts w:ascii="Arial" w:hAnsi="Arial" w:cs="Arial"/>
          <w:sz w:val="20"/>
          <w:szCs w:val="20"/>
        </w:rPr>
      </w:pPr>
      <w:r w:rsidRPr="005C158A">
        <w:rPr>
          <w:rFonts w:ascii="Arial" w:hAnsi="Arial" w:cs="Arial"/>
          <w:sz w:val="20"/>
          <w:szCs w:val="20"/>
        </w:rPr>
        <w:t xml:space="preserve">Korzystanie z nowych formularzy ogłoszeń (e-formularzy) będzie możliwe z użyciem narzędzi i procedur, dostępnych dla zamawiających bezpośrednio na stronie </w:t>
      </w:r>
      <w:hyperlink r:id="rId14" w:history="1">
        <w:r w:rsidRPr="005C158A">
          <w:rPr>
            <w:rFonts w:ascii="Arial" w:hAnsi="Arial" w:cs="Arial"/>
            <w:sz w:val="20"/>
            <w:szCs w:val="20"/>
          </w:rPr>
          <w:t>http://simap.europa.eu</w:t>
        </w:r>
      </w:hyperlink>
      <w:r w:rsidRPr="005C158A">
        <w:rPr>
          <w:rFonts w:ascii="Arial" w:hAnsi="Arial" w:cs="Arial"/>
          <w:sz w:val="20"/>
          <w:szCs w:val="20"/>
        </w:rPr>
        <w:t xml:space="preserve">, tj. za pośrednictwem aplikacji eNotice2, albo za pośrednictwem krajowych usług </w:t>
      </w:r>
      <w:proofErr w:type="spellStart"/>
      <w:r w:rsidRPr="005C158A">
        <w:rPr>
          <w:rFonts w:ascii="Arial" w:hAnsi="Arial" w:cs="Arial"/>
          <w:sz w:val="20"/>
          <w:szCs w:val="20"/>
        </w:rPr>
        <w:t>eSender</w:t>
      </w:r>
      <w:proofErr w:type="spellEnd"/>
      <w:r w:rsidRPr="005C158A">
        <w:rPr>
          <w:rFonts w:ascii="Arial" w:hAnsi="Arial" w:cs="Arial"/>
          <w:sz w:val="20"/>
          <w:szCs w:val="20"/>
        </w:rPr>
        <w:t xml:space="preserve">, jeżeli takie będą dostępne. </w:t>
      </w:r>
    </w:p>
    <w:p w14:paraId="482F58B3" w14:textId="592A98E5" w:rsidR="00F3131D" w:rsidRPr="005C158A" w:rsidRDefault="001728EB"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Od dnia 25 października 2023 r. zamawiający będzie przekazywać ogłoszenia korzystając z nowych formularzy ogłoszeń (e-formularze) w aplikacji eNotice2, dostępnej bezpośrednio na stronie </w:t>
      </w:r>
      <w:hyperlink r:id="rId15" w:history="1">
        <w:r w:rsidRPr="005C158A">
          <w:rPr>
            <w:rFonts w:ascii="Arial" w:hAnsi="Arial" w:cs="Arial"/>
            <w:sz w:val="20"/>
            <w:szCs w:val="20"/>
          </w:rPr>
          <w:t>http://simap.europa.eu</w:t>
        </w:r>
      </w:hyperlink>
      <w:r w:rsidRPr="005C158A">
        <w:rPr>
          <w:rFonts w:ascii="Arial" w:hAnsi="Arial" w:cs="Arial"/>
          <w:sz w:val="20"/>
          <w:szCs w:val="20"/>
        </w:rPr>
        <w:t xml:space="preserve">, przy czym wypełniając standardowe formularze ogłoszeń (e-formularze), w celu przekazania ogłoszeń do publikacji w Dz. Urz. UE, będzie musiał on uwzględniać w ich treści nowe regulacje rozporządzenia, które zostanie wydane na podstawie art. 87 ust. 4 ustawy </w:t>
      </w:r>
      <w:proofErr w:type="spellStart"/>
      <w:r w:rsidRPr="005C158A">
        <w:rPr>
          <w:rFonts w:ascii="Arial" w:hAnsi="Arial" w:cs="Arial"/>
          <w:sz w:val="20"/>
          <w:szCs w:val="20"/>
        </w:rPr>
        <w:t>Pzp</w:t>
      </w:r>
      <w:proofErr w:type="spellEnd"/>
      <w:r w:rsidRPr="005C158A">
        <w:rPr>
          <w:rFonts w:ascii="Arial" w:hAnsi="Arial" w:cs="Arial"/>
          <w:sz w:val="20"/>
          <w:szCs w:val="20"/>
        </w:rPr>
        <w:t xml:space="preserve">. </w:t>
      </w:r>
      <w:r w:rsidR="00F3131D" w:rsidRPr="005C158A">
        <w:rPr>
          <w:rFonts w:ascii="Arial" w:hAnsi="Arial" w:cs="Arial"/>
          <w:sz w:val="20"/>
          <w:szCs w:val="20"/>
        </w:rPr>
        <w:t xml:space="preserve">Przewiduje się, że przepis wprowadzający ww. delegację do wydania rozporządzenia wejdzie w życie z dniem 25 października 2023 r., a więc z dniem, od którego przewidziano bezwzględny obowiązek stosowania standardowych formularzy określonych w rozporządzeniu 2019/1780. </w:t>
      </w:r>
    </w:p>
    <w:bookmarkEnd w:id="106"/>
    <w:p w14:paraId="5B6AB294"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Rozporządzenie 2019/1780 ma również zastosowanie do regulacji objętych dyrektywą Parlamentu Europejskiego i Rady 2014/23/UE z dnia 26 lutego 2014 r. w sprawie udzielania koncesji (Dz. Urz. UE L 94 z 28.03.2014, str. 1, z </w:t>
      </w:r>
      <w:proofErr w:type="spellStart"/>
      <w:r w:rsidRPr="005C158A">
        <w:rPr>
          <w:rFonts w:ascii="Arial" w:hAnsi="Arial" w:cs="Arial"/>
          <w:sz w:val="20"/>
          <w:szCs w:val="20"/>
        </w:rPr>
        <w:t>poźn</w:t>
      </w:r>
      <w:proofErr w:type="spellEnd"/>
      <w:r w:rsidRPr="005C158A">
        <w:rPr>
          <w:rFonts w:ascii="Arial" w:hAnsi="Arial" w:cs="Arial"/>
          <w:sz w:val="20"/>
          <w:szCs w:val="20"/>
        </w:rPr>
        <w:t xml:space="preserve">. zm.), w związku z tym niezbędne jest wprowadzenie zmian również </w:t>
      </w:r>
      <w:r w:rsidRPr="005C158A">
        <w:rPr>
          <w:rFonts w:ascii="Arial" w:hAnsi="Arial" w:cs="Arial"/>
          <w:sz w:val="20"/>
          <w:szCs w:val="20"/>
        </w:rPr>
        <w:lastRenderedPageBreak/>
        <w:t>w </w:t>
      </w:r>
      <w:r w:rsidRPr="005C158A">
        <w:rPr>
          <w:rFonts w:ascii="Arial" w:hAnsi="Arial" w:cs="Arial"/>
          <w:b/>
          <w:bCs/>
          <w:sz w:val="20"/>
          <w:szCs w:val="20"/>
        </w:rPr>
        <w:t>art. 18 ustawy dnia 21 października 2016 r. o umowie koncesji na roboty budowlane lub usługi</w:t>
      </w:r>
      <w:r w:rsidRPr="005C158A">
        <w:rPr>
          <w:rFonts w:ascii="Arial" w:hAnsi="Arial" w:cs="Arial"/>
          <w:sz w:val="20"/>
          <w:szCs w:val="20"/>
        </w:rPr>
        <w:t xml:space="preserve">. Oprócz uaktualnienia odesłania do nowego rozporządzenia 2019/1780 zasadne jest także wprowadzenie do ustawy o umowie koncesji na roboty budowlane lub usługi upoważnienia ustawowego dla ministra właściwego do spraw gospodarki do wydania rozporządzenia określającego na szczeblu krajowym te z pól opcjonalnych e-formularzy, które podlegają uzupełnieniu biorąc pod uwagę treść rozporządzenia </w:t>
      </w:r>
      <w:bookmarkStart w:id="107" w:name="_Hlk114237042"/>
      <w:r w:rsidRPr="005C158A">
        <w:rPr>
          <w:rFonts w:ascii="Arial" w:hAnsi="Arial" w:cs="Arial"/>
          <w:sz w:val="20"/>
          <w:szCs w:val="20"/>
        </w:rPr>
        <w:t>2019/1780</w:t>
      </w:r>
      <w:bookmarkEnd w:id="107"/>
      <w:r w:rsidRPr="005C158A">
        <w:rPr>
          <w:rFonts w:ascii="Arial" w:hAnsi="Arial" w:cs="Arial"/>
          <w:sz w:val="20"/>
          <w:szCs w:val="20"/>
        </w:rPr>
        <w:t>.</w:t>
      </w:r>
    </w:p>
    <w:p w14:paraId="6689CA6D" w14:textId="12DC43E2" w:rsidR="00B155D4" w:rsidRPr="005C158A" w:rsidRDefault="00B155D4" w:rsidP="00DC6DF4">
      <w:pPr>
        <w:pStyle w:val="Akapitzlist"/>
        <w:numPr>
          <w:ilvl w:val="0"/>
          <w:numId w:val="4"/>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Zmiana w art. 469 </w:t>
      </w:r>
      <w:proofErr w:type="spellStart"/>
      <w:r w:rsidRPr="005C158A">
        <w:rPr>
          <w:rFonts w:ascii="Arial" w:hAnsi="Arial" w:cs="Arial"/>
          <w:sz w:val="20"/>
          <w:szCs w:val="20"/>
        </w:rPr>
        <w:t>Pzp</w:t>
      </w:r>
      <w:proofErr w:type="spellEnd"/>
      <w:r w:rsidRPr="005C158A">
        <w:rPr>
          <w:rFonts w:ascii="Arial" w:hAnsi="Arial" w:cs="Arial"/>
          <w:sz w:val="20"/>
          <w:szCs w:val="20"/>
        </w:rPr>
        <w:t xml:space="preserve"> służąca wykonalności rozporządzenia 2022/2560.</w:t>
      </w:r>
    </w:p>
    <w:p w14:paraId="4F279362" w14:textId="56319482" w:rsidR="00B155D4" w:rsidRPr="005C158A" w:rsidRDefault="00B155D4" w:rsidP="00B155D4">
      <w:pPr>
        <w:pStyle w:val="ZPKTzmpktartykuempunktem"/>
        <w:ind w:left="0" w:hanging="11"/>
        <w:rPr>
          <w:rFonts w:ascii="Arial" w:hAnsi="Arial"/>
          <w:sz w:val="20"/>
        </w:rPr>
      </w:pPr>
      <w:r w:rsidRPr="005C158A">
        <w:rPr>
          <w:rFonts w:ascii="Arial" w:hAnsi="Arial"/>
          <w:sz w:val="20"/>
        </w:rPr>
        <w:t xml:space="preserve">Zmiana </w:t>
      </w:r>
      <w:r w:rsidRPr="005C158A">
        <w:rPr>
          <w:rFonts w:ascii="Arial" w:hAnsi="Arial"/>
          <w:b/>
          <w:bCs w:val="0"/>
          <w:sz w:val="20"/>
        </w:rPr>
        <w:t xml:space="preserve">w art. 469 </w:t>
      </w:r>
      <w:proofErr w:type="spellStart"/>
      <w:r w:rsidRPr="005C158A">
        <w:rPr>
          <w:rFonts w:ascii="Arial" w:hAnsi="Arial"/>
          <w:sz w:val="20"/>
        </w:rPr>
        <w:t>Pzp</w:t>
      </w:r>
      <w:proofErr w:type="spellEnd"/>
      <w:r w:rsidRPr="005C158A">
        <w:rPr>
          <w:rFonts w:ascii="Arial" w:hAnsi="Arial"/>
          <w:sz w:val="20"/>
        </w:rPr>
        <w:t xml:space="preserve"> służy zapewnieniu wykonalności rozporządzenia 2022/2560 i polega na dodaniu zadania Prezesa UZP jako organu współpracującego z Prezesem UOKiK w zakresie wykonywania zadań państwa członkowskiego określonych w rozporządzeniu 2022/2650</w:t>
      </w:r>
      <w:r w:rsidR="0015096C" w:rsidRPr="005C158A">
        <w:rPr>
          <w:rFonts w:ascii="Arial" w:hAnsi="Arial"/>
          <w:sz w:val="20"/>
        </w:rPr>
        <w:t>. Zadanie to</w:t>
      </w:r>
      <w:r w:rsidRPr="005C158A">
        <w:rPr>
          <w:rFonts w:ascii="Arial" w:hAnsi="Arial"/>
          <w:sz w:val="20"/>
        </w:rPr>
        <w:t xml:space="preserve"> dot. w szczególności przekazywania informacji żądanych przez Prezesa Urzędu Ochrony Konkurencji i Konsumentów dot. postępowań o udzielenie zamówienia</w:t>
      </w:r>
      <w:r w:rsidR="0015096C" w:rsidRPr="005C158A">
        <w:rPr>
          <w:rFonts w:ascii="Arial" w:hAnsi="Arial"/>
          <w:sz w:val="20"/>
        </w:rPr>
        <w:t>, którymi dysponuje Prezes UZP</w:t>
      </w:r>
      <w:r w:rsidR="009F2208" w:rsidRPr="005C158A">
        <w:rPr>
          <w:rFonts w:ascii="Arial" w:hAnsi="Arial"/>
          <w:sz w:val="20"/>
        </w:rPr>
        <w:t>,</w:t>
      </w:r>
      <w:r w:rsidRPr="005C158A">
        <w:rPr>
          <w:rFonts w:ascii="Arial" w:hAnsi="Arial"/>
          <w:sz w:val="20"/>
        </w:rPr>
        <w:t xml:space="preserve"> oraz przekazywania Komisji Europejskiej, za pośrednictwem Prezesa Urzędu Ochrony Konkurencji i Konsumentów, informacji o podejrzeniu wystąpienia subsydiów zagranicznych mogących zakłócać rynek wewnętrzny w związku z postępowaniem o udzielenie zamówienia, zgodnie z rozporządzeniem 2022/2560.</w:t>
      </w:r>
    </w:p>
    <w:p w14:paraId="2751B2A8" w14:textId="77777777" w:rsidR="00F3131D" w:rsidRPr="005C158A" w:rsidRDefault="00F3131D" w:rsidP="00DC6DF4">
      <w:pPr>
        <w:pStyle w:val="Akapitzlist"/>
        <w:numPr>
          <w:ilvl w:val="0"/>
          <w:numId w:val="21"/>
        </w:numPr>
        <w:spacing w:before="120" w:after="120" w:line="360" w:lineRule="auto"/>
        <w:ind w:left="0" w:hanging="11"/>
        <w:jc w:val="both"/>
        <w:rPr>
          <w:rFonts w:ascii="Arial" w:hAnsi="Arial" w:cs="Arial"/>
          <w:sz w:val="20"/>
          <w:szCs w:val="20"/>
        </w:rPr>
      </w:pPr>
      <w:r w:rsidRPr="005C158A">
        <w:rPr>
          <w:rFonts w:ascii="Arial" w:hAnsi="Arial" w:cs="Arial"/>
          <w:sz w:val="20"/>
          <w:szCs w:val="20"/>
        </w:rPr>
        <w:t xml:space="preserve">Zmiana w art. 580 ust. 2 </w:t>
      </w:r>
      <w:proofErr w:type="spellStart"/>
      <w:r w:rsidRPr="005C158A">
        <w:rPr>
          <w:rFonts w:ascii="Arial" w:hAnsi="Arial" w:cs="Arial"/>
          <w:sz w:val="20"/>
          <w:szCs w:val="20"/>
        </w:rPr>
        <w:t>Pzp</w:t>
      </w:r>
      <w:proofErr w:type="spellEnd"/>
      <w:r w:rsidRPr="005C158A">
        <w:rPr>
          <w:rFonts w:ascii="Arial" w:hAnsi="Arial" w:cs="Arial"/>
          <w:sz w:val="20"/>
          <w:szCs w:val="20"/>
        </w:rPr>
        <w:t xml:space="preserve"> dostosowująca do wyroku TSUE C-545/17.</w:t>
      </w:r>
    </w:p>
    <w:p w14:paraId="26CCE7B3" w14:textId="33CDE26C" w:rsidR="0018495D" w:rsidRPr="005C158A" w:rsidRDefault="00F3131D" w:rsidP="0018495D">
      <w:pPr>
        <w:spacing w:before="120" w:after="120" w:line="360" w:lineRule="auto"/>
        <w:ind w:hanging="11"/>
        <w:jc w:val="both"/>
        <w:rPr>
          <w:rFonts w:ascii="Arial" w:hAnsi="Arial" w:cs="Arial"/>
          <w:sz w:val="20"/>
          <w:szCs w:val="20"/>
        </w:rPr>
      </w:pPr>
      <w:r w:rsidRPr="005C158A">
        <w:rPr>
          <w:rFonts w:ascii="Arial" w:hAnsi="Arial" w:cs="Arial"/>
          <w:sz w:val="20"/>
          <w:szCs w:val="20"/>
        </w:rPr>
        <w:t xml:space="preserve">Zmiana </w:t>
      </w:r>
      <w:r w:rsidRPr="005C158A">
        <w:rPr>
          <w:rFonts w:ascii="Arial" w:hAnsi="Arial" w:cs="Arial"/>
          <w:b/>
          <w:bCs/>
          <w:sz w:val="20"/>
          <w:szCs w:val="20"/>
        </w:rPr>
        <w:t xml:space="preserve">art. 580 </w:t>
      </w:r>
      <w:bookmarkStart w:id="108" w:name="_Hlk114237163"/>
      <w:r w:rsidRPr="005C158A">
        <w:rPr>
          <w:rFonts w:ascii="Arial" w:hAnsi="Arial" w:cs="Arial"/>
          <w:b/>
          <w:bCs/>
          <w:sz w:val="20"/>
          <w:szCs w:val="20"/>
        </w:rPr>
        <w:t>ust. 2</w:t>
      </w:r>
      <w:r w:rsidRPr="005C158A">
        <w:rPr>
          <w:rFonts w:ascii="Arial" w:hAnsi="Arial" w:cs="Arial"/>
          <w:sz w:val="20"/>
          <w:szCs w:val="20"/>
        </w:rPr>
        <w:t xml:space="preserve"> zdanie drugie </w:t>
      </w:r>
      <w:bookmarkStart w:id="109" w:name="_Hlk112402891"/>
      <w:bookmarkEnd w:id="108"/>
      <w:proofErr w:type="spellStart"/>
      <w:r w:rsidRPr="005C158A">
        <w:rPr>
          <w:rFonts w:ascii="Arial" w:hAnsi="Arial" w:cs="Arial"/>
          <w:sz w:val="20"/>
          <w:szCs w:val="20"/>
        </w:rPr>
        <w:t>Pzp</w:t>
      </w:r>
      <w:proofErr w:type="spellEnd"/>
      <w:r w:rsidRPr="005C158A">
        <w:rPr>
          <w:rFonts w:ascii="Arial" w:hAnsi="Arial" w:cs="Arial"/>
          <w:sz w:val="20"/>
          <w:szCs w:val="20"/>
        </w:rPr>
        <w:t xml:space="preserve"> ma na celu dostosowanie do brzmienia art. 165 § 2 Kodeksu postępowania cywilnego, które uwzględnia wyrok Trybunału Sprawiedliwości Unii Europejskiej (czwarta izba) z dnia 27 marca 2019 r. w sprawie C-545/17 Mariusz Pawlak przeciwko Prezesowi Kasy Rolniczego Ubezpieczenia Społecznego. </w:t>
      </w:r>
      <w:bookmarkEnd w:id="109"/>
      <w:r w:rsidRPr="005C158A">
        <w:rPr>
          <w:rFonts w:ascii="Arial" w:hAnsi="Arial" w:cs="Arial"/>
          <w:sz w:val="20"/>
          <w:szCs w:val="20"/>
        </w:rPr>
        <w:t xml:space="preserve">W wyroku tym Trybunał orzekł, że art. 7 ust. 1 zdanie pierwsze w związku z art. 8 dyrektywy 97/67/WE Parlamentu Europejskiego i Rady z dnia 15 grudnia 1997 r. w sprawie wspólnych zasad rozwoju rynku wewnętrznego usług pocztowych Wspólnoty oraz poprawy jakości usług, zmienionej dyrektywą Parlamentu Europejskiego i Rady 2008/6/WE z dnia 20 lutego 2008 r., należy interpretować w ten sposób, że sprzeciwia się on przepisowi prawa krajowego, takiemu jak art. 165 § 2 Kodeksu postępowania cywilnego w poprzednim brzmieniu, który uznawał za równoznaczne z wniesieniem pisma procesowego do danego sądu jedynie złożenie takiego pisma w placówce pocztowej jednego operatora wyznaczonego do świadczenia usługi powszechnej. </w:t>
      </w:r>
      <w:r w:rsidR="0018495D" w:rsidRPr="005C158A">
        <w:rPr>
          <w:rFonts w:ascii="Arial" w:hAnsi="Arial" w:cs="Arial"/>
          <w:sz w:val="20"/>
          <w:szCs w:val="20"/>
        </w:rPr>
        <w:t>Już n</w:t>
      </w:r>
      <w:r w:rsidRPr="005C158A">
        <w:rPr>
          <w:rFonts w:ascii="Arial" w:hAnsi="Arial" w:cs="Arial"/>
          <w:sz w:val="20"/>
          <w:szCs w:val="20"/>
        </w:rPr>
        <w:t xml:space="preserve">a mocy ustawy z dnia 11 sierpnia 2021 r. o zmianie ustawy – Kodeks postępowania cywilnego oraz niektórych innych ustaw wprowadzono zmiany do art. 165 § 2 Kodeksu postępowania cywilnego. </w:t>
      </w:r>
      <w:r w:rsidR="0018495D" w:rsidRPr="005C158A">
        <w:rPr>
          <w:rFonts w:ascii="Arial" w:hAnsi="Arial" w:cs="Arial"/>
          <w:sz w:val="20"/>
          <w:szCs w:val="20"/>
        </w:rPr>
        <w:t xml:space="preserve">W brzmieniu obowiązującym do końca czerwca 2023 r. </w:t>
      </w:r>
      <w:r w:rsidRPr="005C158A">
        <w:rPr>
          <w:rFonts w:ascii="Arial" w:hAnsi="Arial" w:cs="Arial"/>
          <w:sz w:val="20"/>
          <w:szCs w:val="20"/>
        </w:rPr>
        <w:t>przepis ten stanowi, że oddanie pisma procesowego w formie przesyłki poleconej w polskiej placówce pocztowej operatora pocztowego w rozumieniu ustawy z dnia 23 listopada 2012 r. – Prawo pocztowe lub w placówce podmiotu zajmującego się doręczaniem korespondencji na terenie Unii Europejskiej jest równoznaczne z wniesieniem go do sądu.</w:t>
      </w:r>
    </w:p>
    <w:p w14:paraId="45832855" w14:textId="142D3EBF" w:rsidR="0018495D" w:rsidRPr="005C158A" w:rsidRDefault="0018495D" w:rsidP="0018495D">
      <w:pPr>
        <w:spacing w:before="120" w:after="120" w:line="360" w:lineRule="auto"/>
        <w:ind w:hanging="11"/>
        <w:jc w:val="both"/>
        <w:rPr>
          <w:rFonts w:ascii="Arial" w:hAnsi="Arial" w:cs="Arial"/>
          <w:sz w:val="20"/>
          <w:szCs w:val="20"/>
        </w:rPr>
      </w:pPr>
      <w:r w:rsidRPr="005C158A">
        <w:rPr>
          <w:rFonts w:ascii="Arial" w:hAnsi="Arial" w:cs="Arial"/>
          <w:sz w:val="20"/>
          <w:szCs w:val="20"/>
        </w:rPr>
        <w:t xml:space="preserve">Jednocześnie, z dniem 1 lipca 2023 r. wejdzie w życie nowe brzmienie art. 165 § 2 K.p.c. wprowadzone ustawą z dnia 9 marca 2023 r. o zmianie ustawy – Kodeks postepowania cywilnego oraz niektórych innych ustaw (Dz. U. poz. 614). Zgodnie z nowym brzmieniem ww. przepisu, oddanie pisma procesowego w polskiej placówce operatora świadczącego pocztowe usługi powszechne na terytorium </w:t>
      </w:r>
      <w:r w:rsidRPr="005C158A">
        <w:rPr>
          <w:rFonts w:ascii="Arial" w:hAnsi="Arial" w:cs="Arial"/>
          <w:sz w:val="20"/>
          <w:szCs w:val="20"/>
        </w:rPr>
        <w:lastRenderedPageBreak/>
        <w:t>Rzeczypospolitej Polskiej albo w zagranicznej placówce pocztowej operatora świadczącego pocztowe usługi powszechne na terytorium innego państwa członkowskiego Unii Europejskiej jest równoznaczne z wniesieniem tego pisma do sądu.</w:t>
      </w:r>
    </w:p>
    <w:p w14:paraId="5AE31F08" w14:textId="2C7FDFF8" w:rsidR="0018495D" w:rsidRPr="005C158A" w:rsidRDefault="00C97212" w:rsidP="0018495D">
      <w:pPr>
        <w:spacing w:before="120" w:after="120" w:line="360" w:lineRule="auto"/>
        <w:ind w:hanging="11"/>
        <w:jc w:val="both"/>
        <w:rPr>
          <w:rFonts w:ascii="Arial" w:hAnsi="Arial" w:cs="Arial"/>
          <w:sz w:val="20"/>
          <w:szCs w:val="20"/>
        </w:rPr>
      </w:pPr>
      <w:r w:rsidRPr="005C158A">
        <w:rPr>
          <w:rFonts w:ascii="Arial" w:hAnsi="Arial" w:cs="Arial"/>
          <w:sz w:val="20"/>
          <w:szCs w:val="20"/>
        </w:rPr>
        <w:t>Brzmienie</w:t>
      </w:r>
      <w:r w:rsidR="0018495D" w:rsidRPr="005C158A">
        <w:rPr>
          <w:rFonts w:ascii="Arial" w:hAnsi="Arial" w:cs="Arial"/>
          <w:sz w:val="20"/>
          <w:szCs w:val="20"/>
        </w:rPr>
        <w:t xml:space="preserve"> art. 580 ust. 2 zdanie drugie </w:t>
      </w:r>
      <w:proofErr w:type="spellStart"/>
      <w:r w:rsidR="0018495D" w:rsidRPr="005C158A">
        <w:rPr>
          <w:rFonts w:ascii="Arial" w:hAnsi="Arial" w:cs="Arial"/>
          <w:sz w:val="20"/>
          <w:szCs w:val="20"/>
        </w:rPr>
        <w:t>Pzp</w:t>
      </w:r>
      <w:proofErr w:type="spellEnd"/>
      <w:r w:rsidR="0018495D" w:rsidRPr="005C158A">
        <w:rPr>
          <w:rFonts w:ascii="Arial" w:hAnsi="Arial" w:cs="Arial"/>
          <w:sz w:val="20"/>
          <w:szCs w:val="20"/>
        </w:rPr>
        <w:t xml:space="preserve"> zostanie dostosowane do brzmienia art. 165 § 2 K.p.c., w</w:t>
      </w:r>
      <w:r w:rsidRPr="005C158A">
        <w:rPr>
          <w:rFonts w:ascii="Arial" w:hAnsi="Arial" w:cs="Arial"/>
          <w:sz w:val="20"/>
          <w:szCs w:val="20"/>
        </w:rPr>
        <w:t> </w:t>
      </w:r>
      <w:r w:rsidR="0018495D" w:rsidRPr="005C158A">
        <w:rPr>
          <w:rFonts w:ascii="Arial" w:hAnsi="Arial" w:cs="Arial"/>
          <w:sz w:val="20"/>
          <w:szCs w:val="20"/>
        </w:rPr>
        <w:t xml:space="preserve">wersji obowiązującej od dnia 1 lipca 2023 r. </w:t>
      </w:r>
    </w:p>
    <w:p w14:paraId="0D0BEE26" w14:textId="125A92A7" w:rsidR="00E76F7F" w:rsidRPr="005C158A" w:rsidRDefault="00D9434F" w:rsidP="00401710">
      <w:pPr>
        <w:pStyle w:val="Nagwek1"/>
        <w:spacing w:before="120" w:after="120" w:line="360" w:lineRule="auto"/>
        <w:jc w:val="both"/>
        <w:rPr>
          <w:rFonts w:ascii="Arial" w:hAnsi="Arial" w:cs="Arial"/>
          <w:color w:val="auto"/>
          <w:sz w:val="20"/>
          <w:szCs w:val="20"/>
        </w:rPr>
      </w:pPr>
      <w:bookmarkStart w:id="110" w:name="_Toc138329789"/>
      <w:r w:rsidRPr="005C158A">
        <w:rPr>
          <w:rFonts w:ascii="Arial" w:hAnsi="Arial" w:cs="Arial"/>
          <w:color w:val="auto"/>
          <w:sz w:val="20"/>
          <w:szCs w:val="20"/>
        </w:rPr>
        <w:t>Ustawa</w:t>
      </w:r>
      <w:r w:rsidR="00CE220E" w:rsidRPr="005C158A">
        <w:rPr>
          <w:rFonts w:ascii="Arial" w:hAnsi="Arial" w:cs="Arial"/>
          <w:color w:val="auto"/>
          <w:sz w:val="20"/>
          <w:szCs w:val="20"/>
        </w:rPr>
        <w:t xml:space="preserve"> z dnia 2 marca 2020 r. o szczególnych rozwiązaniach związanych z zapobieganiem, przeciwdziałaniem i zwalczaniem COVID-19, innych chorób zakaźnych oraz wywołanych nimi sytuacji kryzysowych</w:t>
      </w:r>
      <w:bookmarkEnd w:id="110"/>
    </w:p>
    <w:p w14:paraId="156274F8" w14:textId="5777F4DB" w:rsidR="00CE220E" w:rsidRPr="005C158A" w:rsidRDefault="00CE220E"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obecnie obowiązującym przepisie </w:t>
      </w:r>
      <w:r w:rsidRPr="005C158A">
        <w:rPr>
          <w:rFonts w:ascii="Arial" w:hAnsi="Arial" w:cs="Arial"/>
          <w:b/>
          <w:bCs/>
          <w:sz w:val="20"/>
          <w:szCs w:val="20"/>
        </w:rPr>
        <w:t>art. 31zzu</w:t>
      </w:r>
      <w:r w:rsidRPr="005C158A">
        <w:rPr>
          <w:rFonts w:ascii="Arial" w:hAnsi="Arial" w:cs="Arial"/>
          <w:sz w:val="20"/>
          <w:szCs w:val="20"/>
        </w:rPr>
        <w:t xml:space="preserve"> </w:t>
      </w:r>
      <w:r w:rsidR="002466F1" w:rsidRPr="005C158A">
        <w:rPr>
          <w:rFonts w:ascii="Arial" w:hAnsi="Arial" w:cs="Arial"/>
          <w:sz w:val="20"/>
          <w:szCs w:val="20"/>
        </w:rPr>
        <w:t xml:space="preserve">ww. ustawy </w:t>
      </w:r>
      <w:r w:rsidRPr="005C158A">
        <w:rPr>
          <w:rFonts w:ascii="Arial" w:hAnsi="Arial" w:cs="Arial"/>
          <w:sz w:val="20"/>
          <w:szCs w:val="20"/>
        </w:rPr>
        <w:t>spenalizowano jedynie zaniżenie przez organizatora turystyki składki należnej na Turystyczny Fundusz Pomocowy (TFP). Z praktyki Ubezpieczeniowego Funduszu Gwarancyjnego, odpowiedzialnego za przyjmowanie od organizatorów turystyki składek wynika, że przepis ten w sposób niewystarczający zapewnia prewencję dotyczącą w</w:t>
      </w:r>
      <w:r w:rsidR="00295358" w:rsidRPr="005C158A">
        <w:rPr>
          <w:rFonts w:ascii="Arial" w:hAnsi="Arial" w:cs="Arial"/>
          <w:sz w:val="20"/>
          <w:szCs w:val="20"/>
        </w:rPr>
        <w:t> </w:t>
      </w:r>
      <w:r w:rsidRPr="005C158A">
        <w:rPr>
          <w:rFonts w:ascii="Arial" w:hAnsi="Arial" w:cs="Arial"/>
          <w:sz w:val="20"/>
          <w:szCs w:val="20"/>
        </w:rPr>
        <w:t>ogólności realizacji przez przedsiębiorców obowiązków związanych z uiszczaniem składek i</w:t>
      </w:r>
      <w:r w:rsidR="00295358" w:rsidRPr="005C158A">
        <w:rPr>
          <w:rFonts w:ascii="Arial" w:hAnsi="Arial" w:cs="Arial"/>
          <w:sz w:val="20"/>
          <w:szCs w:val="20"/>
        </w:rPr>
        <w:t> </w:t>
      </w:r>
      <w:r w:rsidRPr="005C158A">
        <w:rPr>
          <w:rFonts w:ascii="Arial" w:hAnsi="Arial" w:cs="Arial"/>
          <w:sz w:val="20"/>
          <w:szCs w:val="20"/>
        </w:rPr>
        <w:t>przekazywaniem informacji o ich wysokości. Rozszerzenie obecnej regulacji także na takie przypadki pozwoli w sposób wymierny zabezpieczyć dopływ środków do Funduszu, z którego mają być wypłacane środki na pokrycie zobowiązań organizatorów turystyki, w przypadku wystąpienia w przyszłości kryzysu podobnego do tego z okresu pandemii. Mając na uwadze powyższe należy podkreślić, że proponowane modyfikacje przepisów mają za zadanie poprawę sytuacji przedsiębiorców turystycznych prawidłowo realizujących swoje obowiązki ustawowe w stosunku do podmiotów uchylających się od ich realizacji. Zmiana ma na celu zapewnienie skutecznej drogi egzekwowania obowiązków przedsiębiorców turystycznych wobec Turystycznego Funduszu Pomocowego.</w:t>
      </w:r>
    </w:p>
    <w:p w14:paraId="13F28DFA" w14:textId="24186E82" w:rsidR="00CE220E" w:rsidRPr="005C158A" w:rsidRDefault="00CE220E"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Warto również wskazać, że sankcja dotycząca nie odprowadzania składek przez organizatora turystyki jest przewidziana wyłącznie za brak realizacji obowiązków ustawowych pomimo wezwania do ich realizacji, a nie za np. incydentalny przypadek zaniechania przedsiębiorców w tymże zakresie. </w:t>
      </w:r>
    </w:p>
    <w:p w14:paraId="5C0EC21F" w14:textId="1BF6D1CA" w:rsidR="00AC7C84" w:rsidRPr="005C158A" w:rsidRDefault="00D9434F" w:rsidP="00401710">
      <w:pPr>
        <w:pStyle w:val="Nagwek1"/>
        <w:spacing w:before="120" w:after="120" w:line="360" w:lineRule="auto"/>
        <w:jc w:val="both"/>
        <w:rPr>
          <w:rFonts w:ascii="Arial" w:hAnsi="Arial" w:cs="Arial"/>
          <w:color w:val="auto"/>
          <w:sz w:val="20"/>
          <w:szCs w:val="20"/>
        </w:rPr>
      </w:pPr>
      <w:bookmarkStart w:id="111" w:name="_Toc138329790"/>
      <w:r w:rsidRPr="005C158A">
        <w:rPr>
          <w:rFonts w:ascii="Arial" w:hAnsi="Arial" w:cs="Arial"/>
          <w:color w:val="auto"/>
          <w:sz w:val="20"/>
          <w:szCs w:val="20"/>
        </w:rPr>
        <w:t>Ustawa</w:t>
      </w:r>
      <w:r w:rsidR="00AC7C84" w:rsidRPr="005C158A">
        <w:rPr>
          <w:rFonts w:ascii="Arial" w:hAnsi="Arial" w:cs="Arial"/>
          <w:color w:val="auto"/>
          <w:sz w:val="20"/>
          <w:szCs w:val="20"/>
        </w:rPr>
        <w:t xml:space="preserve"> z dnia 16 lipca 2020 r. o udzielaniu pomocy publicznej w celu ratowania lub restrukturyzacji przedsiębiorców</w:t>
      </w:r>
      <w:bookmarkEnd w:id="111"/>
    </w:p>
    <w:p w14:paraId="0BDE081F" w14:textId="0EDFF184" w:rsidR="00AC7C84" w:rsidRPr="005C158A" w:rsidRDefault="00AC7C84"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Zmieniana ustawa realizuje </w:t>
      </w:r>
      <w:r w:rsidR="00D23BA0" w:rsidRPr="005C158A">
        <w:rPr>
          <w:rFonts w:ascii="Arial" w:hAnsi="Arial" w:cs="Arial"/>
          <w:sz w:val="20"/>
          <w:szCs w:val="20"/>
        </w:rPr>
        <w:t>k</w:t>
      </w:r>
      <w:r w:rsidRPr="005C158A">
        <w:rPr>
          <w:rFonts w:ascii="Arial" w:hAnsi="Arial" w:cs="Arial"/>
          <w:sz w:val="20"/>
          <w:szCs w:val="20"/>
        </w:rPr>
        <w:t xml:space="preserve">omunikat Komisji Europejskiej </w:t>
      </w:r>
      <w:r w:rsidR="00D23BA0" w:rsidRPr="005C158A">
        <w:rPr>
          <w:rFonts w:ascii="Arial" w:hAnsi="Arial" w:cs="Arial"/>
          <w:sz w:val="20"/>
          <w:szCs w:val="20"/>
        </w:rPr>
        <w:t xml:space="preserve">– </w:t>
      </w:r>
      <w:r w:rsidRPr="005C158A">
        <w:rPr>
          <w:rFonts w:ascii="Arial" w:hAnsi="Arial" w:cs="Arial"/>
          <w:sz w:val="20"/>
          <w:szCs w:val="20"/>
        </w:rPr>
        <w:t xml:space="preserve">Wytyczne dotyczące pomocy państwa na ratowanie i restrukturyzację przedsiębiorstw niefinansowych znajdujących się w trudnej sytuacji </w:t>
      </w:r>
      <w:r w:rsidR="00D23BA0" w:rsidRPr="005C158A">
        <w:rPr>
          <w:rFonts w:ascii="Arial" w:hAnsi="Arial" w:cs="Arial"/>
          <w:sz w:val="20"/>
          <w:szCs w:val="20"/>
        </w:rPr>
        <w:t xml:space="preserve">(Dz. Urz. UE C 249 z 31.07.2014 r., str. 1) </w:t>
      </w:r>
      <w:r w:rsidRPr="005C158A">
        <w:rPr>
          <w:rFonts w:ascii="Arial" w:hAnsi="Arial" w:cs="Arial"/>
          <w:sz w:val="20"/>
          <w:szCs w:val="20"/>
        </w:rPr>
        <w:t>(dalej</w:t>
      </w:r>
      <w:r w:rsidR="0048147A" w:rsidRPr="005C158A">
        <w:rPr>
          <w:rFonts w:ascii="Arial" w:hAnsi="Arial" w:cs="Arial"/>
          <w:sz w:val="20"/>
          <w:szCs w:val="20"/>
        </w:rPr>
        <w:t>:</w:t>
      </w:r>
      <w:r w:rsidRPr="005C158A">
        <w:rPr>
          <w:rFonts w:ascii="Arial" w:hAnsi="Arial" w:cs="Arial"/>
          <w:sz w:val="20"/>
          <w:szCs w:val="20"/>
        </w:rPr>
        <w:t xml:space="preserve"> Wytyczne </w:t>
      </w:r>
      <w:r w:rsidR="00A84E22" w:rsidRPr="005C158A">
        <w:rPr>
          <w:rFonts w:ascii="Arial" w:hAnsi="Arial" w:cs="Arial"/>
          <w:sz w:val="20"/>
          <w:szCs w:val="20"/>
        </w:rPr>
        <w:t>KE</w:t>
      </w:r>
      <w:r w:rsidRPr="005C158A">
        <w:rPr>
          <w:rFonts w:ascii="Arial" w:hAnsi="Arial" w:cs="Arial"/>
          <w:sz w:val="20"/>
          <w:szCs w:val="20"/>
        </w:rPr>
        <w:t xml:space="preserve">). Usprawnienie udzielania pomocy jest umożliwione przede wszystkim poprzez wdrożenie programu pomocowego dla mikro-, małych i średnich przedsiębiorców, notyfikowanego jednorazowo jako całość. Takie działanie powoduje, że indywidualna pomoc udzielana tym przedsiębiorcom nie wymaga każdorazowej notyfikacji. Jednakże, aby taka skuteczna notyfikacja mogła zostać przeprowadzona, a pomoc udzielana na jej podstawie uznana za zgodną z zasadami rynku wewnętrznego Unii Europejskiej przez Komisję Europejską, konieczne jest zachowanie pełnej zgodności z Wytycznymi </w:t>
      </w:r>
      <w:r w:rsidR="00A84E22" w:rsidRPr="005C158A">
        <w:rPr>
          <w:rFonts w:ascii="Arial" w:hAnsi="Arial" w:cs="Arial"/>
          <w:sz w:val="20"/>
          <w:szCs w:val="20"/>
        </w:rPr>
        <w:t>KE</w:t>
      </w:r>
      <w:r w:rsidRPr="005C158A">
        <w:rPr>
          <w:rFonts w:ascii="Arial" w:hAnsi="Arial" w:cs="Arial"/>
          <w:sz w:val="20"/>
          <w:szCs w:val="20"/>
        </w:rPr>
        <w:t xml:space="preserve">. </w:t>
      </w:r>
    </w:p>
    <w:p w14:paraId="5FEA405C" w14:textId="587DE4C9" w:rsidR="00AC7C84" w:rsidRPr="005C158A" w:rsidRDefault="00AC7C84" w:rsidP="00401710">
      <w:pPr>
        <w:spacing w:before="120" w:after="120" w:line="360" w:lineRule="auto"/>
        <w:jc w:val="both"/>
        <w:rPr>
          <w:rFonts w:ascii="Arial" w:hAnsi="Arial" w:cs="Arial"/>
          <w:sz w:val="20"/>
          <w:szCs w:val="20"/>
        </w:rPr>
      </w:pPr>
      <w:r w:rsidRPr="005C158A">
        <w:rPr>
          <w:rFonts w:ascii="Arial" w:hAnsi="Arial" w:cs="Arial"/>
          <w:sz w:val="20"/>
          <w:szCs w:val="20"/>
        </w:rPr>
        <w:t>Zaproponowane zmian</w:t>
      </w:r>
      <w:r w:rsidR="005B4FE5" w:rsidRPr="005C158A">
        <w:rPr>
          <w:rFonts w:ascii="Arial" w:hAnsi="Arial" w:cs="Arial"/>
          <w:sz w:val="20"/>
          <w:szCs w:val="20"/>
        </w:rPr>
        <w:t>y</w:t>
      </w:r>
      <w:r w:rsidRPr="005C158A">
        <w:rPr>
          <w:rFonts w:ascii="Arial" w:hAnsi="Arial" w:cs="Arial"/>
          <w:sz w:val="20"/>
          <w:szCs w:val="20"/>
        </w:rPr>
        <w:t xml:space="preserve"> mają na celu:</w:t>
      </w:r>
    </w:p>
    <w:p w14:paraId="38B404FB" w14:textId="77777777" w:rsidR="00AC7C84" w:rsidRPr="005C158A" w:rsidRDefault="00AC7C84" w:rsidP="00DC6DF4">
      <w:pPr>
        <w:pStyle w:val="Akapitzlist"/>
        <w:numPr>
          <w:ilvl w:val="0"/>
          <w:numId w:val="10"/>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uwzględnienie zastrzeżeń wniesionych przez Komisję Europejską w toku postępowania notyfikacyjnego, </w:t>
      </w:r>
    </w:p>
    <w:p w14:paraId="6D2FD8D0" w14:textId="77777777" w:rsidR="00AC7C84" w:rsidRPr="005C158A" w:rsidRDefault="00AC7C84" w:rsidP="00DC6DF4">
      <w:pPr>
        <w:pStyle w:val="Akapitzlist"/>
        <w:numPr>
          <w:ilvl w:val="0"/>
          <w:numId w:val="10"/>
        </w:numPr>
        <w:spacing w:before="120" w:after="120" w:line="360" w:lineRule="auto"/>
        <w:ind w:left="0" w:firstLine="0"/>
        <w:jc w:val="both"/>
        <w:rPr>
          <w:rFonts w:ascii="Arial" w:hAnsi="Arial" w:cs="Arial"/>
          <w:sz w:val="20"/>
          <w:szCs w:val="20"/>
        </w:rPr>
      </w:pPr>
      <w:r w:rsidRPr="005C158A">
        <w:rPr>
          <w:rFonts w:ascii="Arial" w:hAnsi="Arial" w:cs="Arial"/>
          <w:sz w:val="20"/>
          <w:szCs w:val="20"/>
        </w:rPr>
        <w:lastRenderedPageBreak/>
        <w:t xml:space="preserve">wyeliminowanie wątpliwości interpretacyjnych, jakie pojawiły się w toku stosowania tej regulacji, </w:t>
      </w:r>
    </w:p>
    <w:p w14:paraId="5F9D9647" w14:textId="77777777" w:rsidR="00AC7C84" w:rsidRPr="005C158A" w:rsidRDefault="00AC7C84" w:rsidP="00DC6DF4">
      <w:pPr>
        <w:pStyle w:val="Akapitzlist"/>
        <w:numPr>
          <w:ilvl w:val="0"/>
          <w:numId w:val="10"/>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wprowadzenie rozwiązań prawnych, które usprawnią i przyspieszą udzielanie pomocy na etapie rozpatrywania wniosku o pomoc. </w:t>
      </w:r>
    </w:p>
    <w:p w14:paraId="443E4151" w14:textId="69CC83E1" w:rsidR="00AC7C84" w:rsidRPr="005C158A" w:rsidRDefault="00AC7C84"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Intencją </w:t>
      </w:r>
      <w:r w:rsidR="000F6FFE" w:rsidRPr="005C158A">
        <w:rPr>
          <w:rFonts w:ascii="Arial" w:hAnsi="Arial" w:cs="Arial"/>
          <w:sz w:val="20"/>
          <w:szCs w:val="20"/>
        </w:rPr>
        <w:t>dodania</w:t>
      </w:r>
      <w:r w:rsidRPr="005C158A">
        <w:rPr>
          <w:rFonts w:ascii="Arial" w:hAnsi="Arial" w:cs="Arial"/>
          <w:sz w:val="20"/>
          <w:szCs w:val="20"/>
        </w:rPr>
        <w:t xml:space="preserve"> </w:t>
      </w:r>
      <w:r w:rsidR="000F6FFE" w:rsidRPr="005C158A">
        <w:rPr>
          <w:rFonts w:ascii="Arial" w:hAnsi="Arial" w:cs="Arial"/>
          <w:b/>
          <w:bCs/>
          <w:sz w:val="20"/>
          <w:szCs w:val="20"/>
        </w:rPr>
        <w:t>art. 16 ust. 2a</w:t>
      </w:r>
      <w:r w:rsidR="000F6FFE" w:rsidRPr="005C158A">
        <w:rPr>
          <w:rFonts w:ascii="Arial" w:hAnsi="Arial" w:cs="Arial"/>
          <w:sz w:val="20"/>
          <w:szCs w:val="20"/>
        </w:rPr>
        <w:t xml:space="preserve"> do ustawy o udzielaniu pomocy publicznej w celu ratowania lub restrukturyzacji przedsiębiorców </w:t>
      </w:r>
      <w:r w:rsidRPr="005C158A">
        <w:rPr>
          <w:rFonts w:ascii="Arial" w:hAnsi="Arial" w:cs="Arial"/>
          <w:sz w:val="20"/>
          <w:szCs w:val="20"/>
        </w:rPr>
        <w:t xml:space="preserve">jest wyrażenie wprost normy zawartej w punkcie 56 Wytycznych </w:t>
      </w:r>
      <w:r w:rsidR="00A84E22" w:rsidRPr="005C158A">
        <w:rPr>
          <w:rFonts w:ascii="Arial" w:hAnsi="Arial" w:cs="Arial"/>
          <w:sz w:val="20"/>
          <w:szCs w:val="20"/>
        </w:rPr>
        <w:t>KE</w:t>
      </w:r>
      <w:r w:rsidRPr="005C158A">
        <w:rPr>
          <w:rFonts w:ascii="Arial" w:hAnsi="Arial" w:cs="Arial"/>
          <w:sz w:val="20"/>
          <w:szCs w:val="20"/>
        </w:rPr>
        <w:t>, zgodnie z którym poziom wynagrodzenia, jakie beneficjent pomocy musi uiścić za pomoc na ratowanie, powinien zostać podniesiony o co najmniej 50 punktów bazowych w przypadku pomocy na ratowanie, jeżeli beneficjent tej pomocy kwalifikuje się jako przedsiębiorstwo znajdujące się w trudnej sytuacji i po przedłożeniu planu restrukturyzacji zezwolenie na pomoc na ratowanie zostanie automatycznie przedłużone do czasu podjęcia ostatecznej decyzji w sprawie planu restrukturyzacji, chyba że organ udzielający pomocy uzna, że przedłużenie zezwolenia nie jest uzasadnione lub powinno zostać ograniczone pod względem czasu lub zakresu. Oznacza to, że przedsiębiorca – w sytuacji gdy po uzyskaniu pomocy na ratowanie złoży wniosek o udzielenie pomocy na restrukturyzację – obowiązany jest do uiszczania podwyższonego oprocentowania po upływie okresu 6 miesięcy, na jaki została udzielona pomoc na ratowanie. Regulacja ta wynika z zasady, zgodnie z którą pomoc państwa w formie wsparcia płynności finansowej musi być ograniczona pod względem czasu trwania (pkt 12 Wytycznych</w:t>
      </w:r>
      <w:r w:rsidR="00A84E22" w:rsidRPr="005C158A">
        <w:rPr>
          <w:rFonts w:ascii="Arial" w:hAnsi="Arial" w:cs="Arial"/>
          <w:sz w:val="20"/>
          <w:szCs w:val="20"/>
        </w:rPr>
        <w:t xml:space="preserve"> KE</w:t>
      </w:r>
      <w:r w:rsidRPr="005C158A">
        <w:rPr>
          <w:rFonts w:ascii="Arial" w:hAnsi="Arial" w:cs="Arial"/>
          <w:sz w:val="20"/>
          <w:szCs w:val="20"/>
        </w:rPr>
        <w:t>). Ma to zniechęcać przedsiębiorców do korzystania ze środków publicznych w dłuższym czasie niż jest to niezbędne dla przetrwania przedsiębiorcy. Może się wydawać, że ta norma zawiera się w normie wynikającej z art. 16 ust. 2, który wskazuje wyłącznie minimalny poziom stopy oprocentowania pożyczki, jednakże regulacja ta ma na celu wyłączenie ewentualnej uznaniowości organu udzielającego pomocy.</w:t>
      </w:r>
    </w:p>
    <w:p w14:paraId="235C93D3" w14:textId="2FF952D8" w:rsidR="00AC7C84" w:rsidRPr="005C158A" w:rsidRDefault="00AC7C84"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W dalszej kolejności proponuje się zastąpienie sformułowania „zysk brutto” sformułowaniem „wynik na działalności operacyjnej”. </w:t>
      </w:r>
      <w:r w:rsidRPr="005C158A">
        <w:rPr>
          <w:rFonts w:ascii="Arial" w:hAnsi="Arial" w:cs="Arial"/>
          <w:b/>
          <w:bCs/>
          <w:sz w:val="20"/>
          <w:szCs w:val="20"/>
        </w:rPr>
        <w:t>Art. 17 ust. 2</w:t>
      </w:r>
      <w:r w:rsidRPr="005C158A">
        <w:rPr>
          <w:rFonts w:ascii="Arial" w:hAnsi="Arial" w:cs="Arial"/>
          <w:sz w:val="20"/>
          <w:szCs w:val="20"/>
        </w:rPr>
        <w:t xml:space="preserve"> </w:t>
      </w:r>
      <w:r w:rsidR="000F6FFE" w:rsidRPr="005C158A">
        <w:rPr>
          <w:rFonts w:ascii="Arial" w:hAnsi="Arial" w:cs="Arial"/>
          <w:sz w:val="20"/>
          <w:szCs w:val="20"/>
        </w:rPr>
        <w:t xml:space="preserve">ustawy o udzielaniu pomocy publicznej w celu ratowania lub restrukturyzacji przedsiębiorców </w:t>
      </w:r>
      <w:r w:rsidRPr="005C158A">
        <w:rPr>
          <w:rFonts w:ascii="Arial" w:hAnsi="Arial" w:cs="Arial"/>
          <w:sz w:val="20"/>
          <w:szCs w:val="20"/>
        </w:rPr>
        <w:t xml:space="preserve">określa, w jaki sposób należy obliczyć maksymalną wysokość pożyczki, jaka może być udzielona na podstawie ustawy. Wystąpiła pomyłka na etapie przekształcania formuły matematycznej, w jakiej pierwotnie ta zasada została zawarta, na opis słowny i w konsekwencji omyłkowo użyto sformułowania „zysk brutto”, podczas gdy powinno się użyć sformułowania „wynik na działalności operacyjnej”. W konsekwencji powoduje to, że amortyzacja przy obliczaniu maksymalnej kwoty pożyczki jest ujmowana dwukrotnie, co jest niezgodne z Wytycznymi </w:t>
      </w:r>
      <w:r w:rsidR="00A84E22" w:rsidRPr="005C158A">
        <w:rPr>
          <w:rFonts w:ascii="Arial" w:hAnsi="Arial" w:cs="Arial"/>
          <w:sz w:val="20"/>
          <w:szCs w:val="20"/>
        </w:rPr>
        <w:t>KE</w:t>
      </w:r>
      <w:r w:rsidRPr="005C158A">
        <w:rPr>
          <w:rFonts w:ascii="Arial" w:hAnsi="Arial" w:cs="Arial"/>
          <w:sz w:val="20"/>
          <w:szCs w:val="20"/>
        </w:rPr>
        <w:t xml:space="preserve"> dotyczącymi pomocy państwa na ratowanie i restrukturyzację przedsiębiorstw niefinansowych, które realizuje ta ustawa. Ponadto doprecyzowano w tym przepisie, że zestawienie wskazanych danych obejmuje „ostatni rok obrotowy” – „względem roku poprzedniego”. W dotychczasowej regulacji nie było doprecyzowane, że te dane muszą być zestawione z danymi bezpośrednio dotyczącymi poprzedniego roku. Jednocześnie wprost wskazują to przywoływane Wytyczne KE w Załączniku I, wskazując, że „Do EBIT należy dodać amortyzację w tym samym okresie oraz zmiany stanu kapitału obrotowego w okresie dwóch lat (w roku poprzedzającym wniosek i rok wcześniej), podzielone przez dwa w celu określenia kwoty w okresie sześciu miesięcy”.</w:t>
      </w:r>
    </w:p>
    <w:p w14:paraId="319FBF80" w14:textId="0AEC07C8" w:rsidR="00AC7C84" w:rsidRPr="005C158A" w:rsidRDefault="00AC7C84"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Proponuje się także zmianę w </w:t>
      </w:r>
      <w:r w:rsidRPr="005C158A">
        <w:rPr>
          <w:rFonts w:ascii="Arial" w:hAnsi="Arial" w:cs="Arial"/>
          <w:b/>
          <w:bCs/>
          <w:sz w:val="20"/>
          <w:szCs w:val="20"/>
        </w:rPr>
        <w:t xml:space="preserve">art. 19 ust. 3 </w:t>
      </w:r>
      <w:r w:rsidR="000F6FFE" w:rsidRPr="005C158A">
        <w:rPr>
          <w:rFonts w:ascii="Arial" w:hAnsi="Arial" w:cs="Arial"/>
          <w:sz w:val="20"/>
          <w:szCs w:val="20"/>
        </w:rPr>
        <w:t>ustawy o udzielaniu pomocy publicznej w celu ratowania lub restrukturyzacji przedsiębiorców</w:t>
      </w:r>
      <w:r w:rsidRPr="005C158A">
        <w:rPr>
          <w:rFonts w:ascii="Arial" w:hAnsi="Arial" w:cs="Arial"/>
          <w:sz w:val="20"/>
          <w:szCs w:val="20"/>
        </w:rPr>
        <w:t xml:space="preserve"> i wprowadzenie możliwości składania wniosków o udzielenie pomocy wyłącznie za pomocą środków komunikacji elektronicznej przy wykorzystaniu formularza </w:t>
      </w:r>
      <w:r w:rsidRPr="005C158A">
        <w:rPr>
          <w:rFonts w:ascii="Arial" w:hAnsi="Arial" w:cs="Arial"/>
          <w:sz w:val="20"/>
          <w:szCs w:val="20"/>
        </w:rPr>
        <w:lastRenderedPageBreak/>
        <w:t xml:space="preserve">elektronicznego dostępnego na stronie internetowej podmiotu udzielającego pomocy, w celu ułatwienia dostępu do wnioskowania o pomoc oraz usprawnienia kontaktu między wnioskodawcą a organem udzielającym pomocy. To docelowo ma prowadzić do przyspieszenia całej procedury udzielania pomocy. W związku z powyższą zmianą, ukierunkowaną na cyfryzację postępowania, w art. 1 pkt 3 lit. b proponuje się również rezygnację z odrębnego niż w ustawie – Kodeks postępowania administracyjnego określania dnia złożenia wniosku za pomocą tradycyjnej poczty, czyli odejście od  dnia nadania wniosku w placówce pocztowej na rzecz dnia doręczenia wniosku do organu udzielającego pomocy. Utrzymywanie fikcji wszczęcia postępowania w sprawie udzielenia pomocy z dniem nadania wniosku w polskiej placówce pocztowej operatora pocztowego wstrzymywałoby możliwość rozpatrzenia wniosków, które wpłynęły do organu poprzez proponowany formularz elektroniczny. </w:t>
      </w:r>
    </w:p>
    <w:p w14:paraId="58543D6D" w14:textId="1839BBF6" w:rsidR="00AC7C84" w:rsidRPr="005C158A" w:rsidRDefault="00AC7C84"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Ponadto, poprzez zmianę w </w:t>
      </w:r>
      <w:r w:rsidRPr="005C158A">
        <w:rPr>
          <w:rFonts w:ascii="Arial" w:hAnsi="Arial" w:cs="Arial"/>
          <w:b/>
          <w:bCs/>
          <w:sz w:val="20"/>
          <w:szCs w:val="20"/>
        </w:rPr>
        <w:t>art. 28</w:t>
      </w:r>
      <w:r w:rsidRPr="005C158A">
        <w:rPr>
          <w:rFonts w:ascii="Arial" w:hAnsi="Arial" w:cs="Arial"/>
          <w:sz w:val="20"/>
          <w:szCs w:val="20"/>
        </w:rPr>
        <w:t xml:space="preserve"> </w:t>
      </w:r>
      <w:r w:rsidR="000F6FFE" w:rsidRPr="005C158A">
        <w:rPr>
          <w:rFonts w:ascii="Arial" w:hAnsi="Arial" w:cs="Arial"/>
          <w:sz w:val="20"/>
          <w:szCs w:val="20"/>
        </w:rPr>
        <w:t>ustawy o udzielaniu pomocy publicznej w celu ratowania lub restrukturyzacji przedsiębiorców</w:t>
      </w:r>
      <w:r w:rsidRPr="005C158A">
        <w:rPr>
          <w:rFonts w:ascii="Arial" w:hAnsi="Arial" w:cs="Arial"/>
          <w:sz w:val="20"/>
          <w:szCs w:val="20"/>
        </w:rPr>
        <w:t xml:space="preserve"> proponuje się analogiczne usunięcie wątpliwości interpretacyjnych, podobnie jak zmiana zawarta </w:t>
      </w:r>
      <w:r w:rsidR="00A84E22" w:rsidRPr="005C158A">
        <w:rPr>
          <w:rFonts w:ascii="Arial" w:hAnsi="Arial" w:cs="Arial"/>
          <w:sz w:val="20"/>
          <w:szCs w:val="20"/>
        </w:rPr>
        <w:t xml:space="preserve">w </w:t>
      </w:r>
      <w:r w:rsidRPr="005C158A">
        <w:rPr>
          <w:rFonts w:ascii="Arial" w:hAnsi="Arial" w:cs="Arial"/>
          <w:sz w:val="20"/>
          <w:szCs w:val="20"/>
        </w:rPr>
        <w:t xml:space="preserve">art. 16. Przepis ma stanowić wyrażenie wprost normy zawartej Wytycznych </w:t>
      </w:r>
      <w:r w:rsidR="00A84E22" w:rsidRPr="005C158A">
        <w:rPr>
          <w:rFonts w:ascii="Arial" w:hAnsi="Arial" w:cs="Arial"/>
          <w:sz w:val="20"/>
          <w:szCs w:val="20"/>
        </w:rPr>
        <w:t>KE</w:t>
      </w:r>
      <w:r w:rsidRPr="005C158A">
        <w:rPr>
          <w:rFonts w:ascii="Arial" w:hAnsi="Arial" w:cs="Arial"/>
          <w:sz w:val="20"/>
          <w:szCs w:val="20"/>
        </w:rPr>
        <w:t xml:space="preserve">, w punkcie 116, zgodnie z którym poziom wynagrodzenia, jakie beneficjent pomocy musi uiścić za udzielenie tymczasowego wsparcia restrukturyzacyjnego, powinien zostać podniesiony o co najmniej 50 punktów bazowych po upływie 12 miesięcy od wypłacenia beneficjentowi pierwszej transzy. Intencją tej normy jest zachęcenie przedsiębiorcy do zaprzestania korzystania z pomocy publicznej, która stanowi zakłócenie mechanizmów rynkowych. W tej sytuacji również może się wydawać, że ta norma zawiera się w normie wynikającej z art. 28 w zw. z art. 16 ust. 2, ponieważ przepisy te wskazują wyłącznie minimalny poziom stopy oprocentowania pożyczki. </w:t>
      </w:r>
    </w:p>
    <w:p w14:paraId="6380E6D8" w14:textId="77777777" w:rsidR="00F3131D" w:rsidRPr="005C158A" w:rsidRDefault="00F3131D" w:rsidP="00F3131D">
      <w:pPr>
        <w:pStyle w:val="Nagwek1"/>
        <w:spacing w:before="120" w:after="120" w:line="360" w:lineRule="auto"/>
        <w:jc w:val="both"/>
        <w:rPr>
          <w:rFonts w:ascii="Arial" w:hAnsi="Arial" w:cs="Arial"/>
          <w:color w:val="auto"/>
          <w:sz w:val="20"/>
          <w:szCs w:val="20"/>
        </w:rPr>
      </w:pPr>
      <w:bookmarkStart w:id="112" w:name="_Toc132054029"/>
      <w:bookmarkStart w:id="113" w:name="_Toc138329791"/>
      <w:r w:rsidRPr="005C158A">
        <w:rPr>
          <w:rFonts w:ascii="Arial" w:hAnsi="Arial" w:cs="Arial"/>
          <w:color w:val="auto"/>
          <w:sz w:val="20"/>
          <w:szCs w:val="20"/>
        </w:rPr>
        <w:t xml:space="preserve">Ustawa z dnia 20 maja 2021 r. </w:t>
      </w:r>
      <w:bookmarkStart w:id="114" w:name="highlightHit_16"/>
      <w:bookmarkStart w:id="115" w:name="highlightHit_17"/>
      <w:bookmarkStart w:id="116" w:name="highlightHit_18"/>
      <w:bookmarkStart w:id="117" w:name="highlightHit_19"/>
      <w:bookmarkStart w:id="118" w:name="highlightHit_20"/>
      <w:bookmarkStart w:id="119" w:name="highlightHit_21"/>
      <w:bookmarkStart w:id="120" w:name="highlightHit_22"/>
      <w:bookmarkStart w:id="121" w:name="highlightHit_23"/>
      <w:bookmarkEnd w:id="114"/>
      <w:bookmarkEnd w:id="115"/>
      <w:bookmarkEnd w:id="116"/>
      <w:bookmarkEnd w:id="117"/>
      <w:bookmarkEnd w:id="118"/>
      <w:bookmarkEnd w:id="119"/>
      <w:bookmarkEnd w:id="120"/>
      <w:bookmarkEnd w:id="121"/>
      <w:r w:rsidRPr="005C158A">
        <w:rPr>
          <w:rFonts w:ascii="Arial" w:hAnsi="Arial" w:cs="Arial"/>
          <w:color w:val="auto"/>
          <w:sz w:val="20"/>
          <w:szCs w:val="20"/>
        </w:rPr>
        <w:t>o ochronie praw nabywcy lokalu mieszkalnego lub domu jednorodzinnego oraz Deweloperskim Funduszu Gwarancyjnym</w:t>
      </w:r>
      <w:bookmarkEnd w:id="112"/>
      <w:bookmarkEnd w:id="113"/>
    </w:p>
    <w:p w14:paraId="6F81E1EB" w14:textId="77777777" w:rsidR="00DC6DF4" w:rsidRPr="005C158A" w:rsidRDefault="00DC6DF4" w:rsidP="00DC6DF4">
      <w:pPr>
        <w:pStyle w:val="Akapitzlist"/>
        <w:numPr>
          <w:ilvl w:val="0"/>
          <w:numId w:val="30"/>
        </w:numPr>
        <w:spacing w:before="120" w:after="120" w:line="360" w:lineRule="auto"/>
        <w:jc w:val="both"/>
        <w:rPr>
          <w:rFonts w:ascii="Arial" w:hAnsi="Arial" w:cs="Arial"/>
          <w:sz w:val="20"/>
          <w:szCs w:val="20"/>
        </w:rPr>
      </w:pPr>
      <w:r w:rsidRPr="005C158A">
        <w:rPr>
          <w:rFonts w:ascii="Arial" w:hAnsi="Arial" w:cs="Arial"/>
          <w:sz w:val="20"/>
          <w:szCs w:val="20"/>
        </w:rPr>
        <w:t>Portal Cen Mieszkań</w:t>
      </w:r>
    </w:p>
    <w:p w14:paraId="64C4EB95" w14:textId="77777777" w:rsidR="00DC6DF4" w:rsidRPr="005C158A" w:rsidRDefault="00DC6DF4" w:rsidP="00DC6DF4">
      <w:pPr>
        <w:spacing w:after="120" w:line="360" w:lineRule="auto"/>
        <w:jc w:val="both"/>
        <w:rPr>
          <w:rFonts w:ascii="Arial" w:eastAsia="Times New Roman" w:hAnsi="Arial" w:cs="Arial"/>
          <w:sz w:val="20"/>
          <w:szCs w:val="20"/>
          <w:u w:val="single"/>
          <w:lang w:eastAsia="pl-PL"/>
        </w:rPr>
      </w:pPr>
      <w:r w:rsidRPr="005C158A">
        <w:rPr>
          <w:rFonts w:ascii="Arial" w:eastAsia="Times New Roman" w:hAnsi="Arial" w:cs="Arial"/>
          <w:sz w:val="20"/>
          <w:szCs w:val="20"/>
          <w:u w:val="single"/>
          <w:lang w:eastAsia="pl-PL"/>
        </w:rPr>
        <w:t>Informacje ogólne</w:t>
      </w:r>
    </w:p>
    <w:p w14:paraId="718E8CAA"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Celem projektowanych w ustawie z dnia 20 maja 2021 r. o ochronie praw nabywcy lokalu mieszkalnego lub domu jednorodzinnego oraz Deweloperskim Funduszu Gwarancyjnym zmian jest stworzenie podstawy prawnej działania portalu do prezentacji cen transakcyjnych na rynku mieszkaniowym. Funkcjonowanie portalu ma przyczynić się do zwiększenia przejrzystości rynku nieruchomości poprzez udostępnianie obywatelom statystyk cen transakcyjnych na rynku pierwotnym i wtórnym w przekrojach umożliwiających zaprezentowanie ujęcia ceny zależnie od atrybutów nieruchomości, w szczególności lokalizacji inwestycji. Dostęp do wiarygodnej i aktualnej informacji z rynku ma stanowić jeden z instrumentów ochrony nabywców mieszkań, w szczególności na rynku pierwotnym. Pozwoli na racjonalną ocenę warunków cenowych ofert nabycia mieszkania w porównaniu do realnych transakcyjnych (a nie ofertowych) cen rynkowych. Wiarygodna informacja o cenach transakcyjnych w poszczególnych lokalizacjach może być również ułatwieniem dla podmiotów gospodarczych podejmujących np. decyzje inwestycyjne na rynku mieszkaniowym.</w:t>
      </w:r>
    </w:p>
    <w:p w14:paraId="04B75849"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Obecnie osoby zainteresowane zakupem nieruchomości mieszkaniowych w Polsce nie mają dostępu do wiarygodnych i aktualnych danych na temat cen transakcyjnych zakupu mieszkań. Publikowane </w:t>
      </w:r>
      <w:r w:rsidRPr="005C158A">
        <w:rPr>
          <w:rFonts w:ascii="Arial" w:eastAsia="Times New Roman" w:hAnsi="Arial" w:cs="Arial"/>
          <w:sz w:val="20"/>
          <w:szCs w:val="20"/>
          <w:lang w:eastAsia="pl-PL"/>
        </w:rPr>
        <w:lastRenderedPageBreak/>
        <w:t xml:space="preserve">m.in. przez komercyjne portale ogłoszeniowe ceny są najczęściej cenami ofertowymi, które mogą znacząco odbiegać od wartości rynkowych i są do pewnego stopnia podatne na manipulacje. Dane transakcyjne podawane przez Narodowy Bank Polski są publikowane tylko dla największych miast. Dane z innych źródeł są natomiast publikowane z dużym opóźnieniem (dane Głównego Urzędu Statystycznego) lub nie są dostępne bezpłatnie (np. dane gromadzone przez Związek Banków Polskich w ramach systemu </w:t>
      </w:r>
      <w:proofErr w:type="spellStart"/>
      <w:r w:rsidRPr="005C158A">
        <w:rPr>
          <w:rFonts w:ascii="Arial" w:eastAsia="Times New Roman" w:hAnsi="Arial" w:cs="Arial"/>
          <w:sz w:val="20"/>
          <w:szCs w:val="20"/>
          <w:lang w:eastAsia="pl-PL"/>
        </w:rPr>
        <w:t>Amron-Sarfin</w:t>
      </w:r>
      <w:proofErr w:type="spellEnd"/>
      <w:r w:rsidRPr="005C158A">
        <w:rPr>
          <w:rFonts w:ascii="Arial" w:eastAsia="Times New Roman" w:hAnsi="Arial" w:cs="Arial"/>
          <w:sz w:val="20"/>
          <w:szCs w:val="20"/>
          <w:lang w:eastAsia="pl-PL"/>
        </w:rPr>
        <w:t>).</w:t>
      </w:r>
    </w:p>
    <w:p w14:paraId="08C2AC2F"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Aby ułatwić decyzje zakupowe w oparciu o wiarygodne dane dotyczące cen transakcyjnych, niezbędne jest zbudowanie rejestru o zasięgu ogólnokrajowym, aktualizowanego na bieżąco z uwzględnieniem zarówno przeprowadzanych transakcji przeniesienia własności (dotyczy rynku wtórnego), jak i przyrzeczeń transakcji w umowach deweloperskich (dotyczy rynku pierwotnego, ponieważ w tego typu transakcjach większe znaczenie dla oceny sytuacji na rynku ma umowa deweloperska, a nie umowa przeniesienia własności zawierana w późniejszym okresie i zawierająca tę samą cenę co umowa deweloperska). </w:t>
      </w:r>
    </w:p>
    <w:p w14:paraId="2F543B60"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Prowadzenie portalu powierzono Ubezpieczeniowemu Funduszowi Gwarancyjnemu, który prowadzi już na podstawie ustawy z dnia 20 maja 2021 r. o ochronie praw nabywcy lokalu mieszkalnego lub domu jednorodzinnego oraz Deweloperskim Funduszu Gwarancyjnym Ewidencję Deweloperskiego Funduszu Gwarancyjnego („Ewidencja”). W Ewidencji gromadzone są dane, które częściowo będą mogły zasilić również portal upubliczniający ceny transakcyjne lokali mieszkalnych i domów jednorodzinnych. Deweloperzy, którzy stanowią główne źródło informacji o transakcjach zawieranych na rynku pierwotnym, mają zapewnione automatyczne kanały komunikacji do zasilania Ewidencji. Rozszerzenie zakresu danych będzie więc szybsze i tańsze w realizacji niż konfiguracja integracji z nową infrastrukturą systemową.</w:t>
      </w:r>
    </w:p>
    <w:p w14:paraId="4D76A379"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W celu pokrycia danymi całego rynku pierwotnego, dane pozyskiwane z Ewidencji będą uzupełniane o dane dostarczane przez deweloperów (i inne podmioty profesjonalne), którzy dotychczas nie rejestrowali transakcji w Ewidencji. Dane z rynku wtórnego będą z kolei dostarczane przez Krajową Administrację Skarbową, która gromadzi dane o transakcjach dotyczących nabywania nieruchomości dla celów podatkowych oraz w celu zapobiegania praniu pieniędzy i finansowaniu terroryzmu. Wykorzystanie istniejących struktur i baz danych ograniczy obowiązki sprawozdawcze podmiotów dysponujących wiedzą źródłową o transakcjach na rynku mieszkaniowym, a więc przede wszystkim deweloperów (dla rynku pierwotnego) i notariuszy (dla rynku wtórnego).</w:t>
      </w:r>
    </w:p>
    <w:p w14:paraId="5B6A2B60" w14:textId="0AB456F4" w:rsidR="00DC6DF4" w:rsidRPr="005C158A" w:rsidRDefault="00DC6DF4" w:rsidP="00DC6DF4">
      <w:pPr>
        <w:spacing w:after="0" w:line="240" w:lineRule="auto"/>
        <w:rPr>
          <w:rFonts w:ascii="Arial" w:eastAsia="Times New Roman" w:hAnsi="Arial" w:cs="Arial"/>
          <w:sz w:val="20"/>
          <w:szCs w:val="20"/>
          <w:u w:val="single"/>
          <w:lang w:eastAsia="pl-PL"/>
        </w:rPr>
      </w:pPr>
      <w:r w:rsidRPr="005C158A">
        <w:rPr>
          <w:rFonts w:ascii="Arial" w:eastAsia="Times New Roman" w:hAnsi="Arial" w:cs="Arial"/>
          <w:sz w:val="20"/>
          <w:szCs w:val="20"/>
          <w:u w:val="single"/>
          <w:lang w:eastAsia="pl-PL"/>
        </w:rPr>
        <w:t>Szczegółowe uzasadnienie zmian.</w:t>
      </w:r>
    </w:p>
    <w:p w14:paraId="130EFA96" w14:textId="77777777" w:rsidR="00DC6DF4" w:rsidRPr="005C158A" w:rsidRDefault="00DC6DF4" w:rsidP="00DC6DF4">
      <w:pPr>
        <w:spacing w:after="0" w:line="240" w:lineRule="auto"/>
        <w:rPr>
          <w:rFonts w:ascii="Arial" w:eastAsia="Times New Roman" w:hAnsi="Arial" w:cs="Arial"/>
          <w:sz w:val="20"/>
          <w:szCs w:val="20"/>
          <w:lang w:eastAsia="pl-PL"/>
        </w:rPr>
      </w:pPr>
    </w:p>
    <w:p w14:paraId="40B017DF"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W</w:t>
      </w:r>
      <w:r w:rsidRPr="005C158A">
        <w:rPr>
          <w:rFonts w:ascii="Arial" w:eastAsia="Times New Roman" w:hAnsi="Arial" w:cs="Arial"/>
          <w:b/>
          <w:bCs/>
          <w:sz w:val="20"/>
          <w:szCs w:val="20"/>
          <w:lang w:eastAsia="pl-PL"/>
        </w:rPr>
        <w:t xml:space="preserve"> art. 48</w:t>
      </w:r>
      <w:r w:rsidRPr="005C158A">
        <w:rPr>
          <w:rFonts w:ascii="Arial" w:eastAsia="Times New Roman" w:hAnsi="Arial" w:cs="Arial"/>
          <w:sz w:val="20"/>
          <w:szCs w:val="20"/>
          <w:lang w:eastAsia="pl-PL"/>
        </w:rPr>
        <w:t xml:space="preserve"> proponuje się wprowadzenie zmian w ustawie z dnia 20 maja 2021 r. o ochronie praw nabywcy lokalu mieszkalnego lub domu jednorodzinnego oraz Deweloperskim Funduszu Gwarancyjnym („ustawa deweloperska”) w celu stworzenia podstawy prawnej do uruchomienia i działania Portalu Cen Mieszkań („Portal”). Z tego względu w pkt 1 proponuje się uzupełnienie zakresu przedmiotowego ustawy (</w:t>
      </w:r>
      <w:r w:rsidRPr="005C158A">
        <w:rPr>
          <w:rFonts w:ascii="Arial" w:eastAsia="Times New Roman" w:hAnsi="Arial" w:cs="Arial"/>
          <w:b/>
          <w:bCs/>
          <w:sz w:val="20"/>
          <w:szCs w:val="20"/>
          <w:lang w:eastAsia="pl-PL"/>
        </w:rPr>
        <w:t>art. 1</w:t>
      </w:r>
      <w:r w:rsidRPr="005C158A">
        <w:rPr>
          <w:rFonts w:ascii="Arial" w:eastAsia="Times New Roman" w:hAnsi="Arial" w:cs="Arial"/>
          <w:sz w:val="20"/>
          <w:szCs w:val="20"/>
          <w:lang w:eastAsia="pl-PL"/>
        </w:rPr>
        <w:t>) o wskazanie, że określa ona także zasady działania i udostępniania informacji z Portalu oraz sposób pozyskiwania danych i informacji do Portalu. Pozostałe zmiany objęły następujące rozwiązania.</w:t>
      </w:r>
    </w:p>
    <w:p w14:paraId="3E909583"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lastRenderedPageBreak/>
        <w:t>Ramy prawne działania Portalu Cen Mieszkań określa</w:t>
      </w:r>
      <w:r w:rsidRPr="005C158A">
        <w:rPr>
          <w:rFonts w:ascii="Arial" w:eastAsia="Times New Roman" w:hAnsi="Arial" w:cs="Arial"/>
          <w:b/>
          <w:bCs/>
          <w:sz w:val="20"/>
          <w:szCs w:val="20"/>
          <w:lang w:eastAsia="pl-PL"/>
        </w:rPr>
        <w:t xml:space="preserve"> rozdział 8a</w:t>
      </w:r>
      <w:r w:rsidRPr="005C158A">
        <w:rPr>
          <w:rFonts w:ascii="Arial" w:eastAsia="Times New Roman" w:hAnsi="Arial" w:cs="Arial"/>
          <w:sz w:val="20"/>
          <w:szCs w:val="20"/>
          <w:lang w:eastAsia="pl-PL"/>
        </w:rPr>
        <w:t xml:space="preserve"> (art. 48 pkt 7). W </w:t>
      </w:r>
      <w:r w:rsidRPr="005C158A">
        <w:rPr>
          <w:rFonts w:ascii="Arial" w:eastAsia="Times New Roman" w:hAnsi="Arial" w:cs="Arial"/>
          <w:b/>
          <w:bCs/>
          <w:sz w:val="20"/>
          <w:szCs w:val="20"/>
          <w:lang w:eastAsia="pl-PL"/>
        </w:rPr>
        <w:t>art. 56a</w:t>
      </w:r>
      <w:r w:rsidRPr="005C158A">
        <w:rPr>
          <w:rFonts w:ascii="Arial" w:eastAsia="Times New Roman" w:hAnsi="Arial" w:cs="Arial"/>
          <w:sz w:val="20"/>
          <w:szCs w:val="20"/>
          <w:lang w:eastAsia="pl-PL"/>
        </w:rPr>
        <w:t xml:space="preserve"> przesądzono, że Portal będzie punktem powszechnego dostępu do informacji statystycznych na temat cen transakcyjnych lokali mieszkalnych i domów jednorodzinnych w przekrojach wskazanych w ustawie. Utworzenie, utrzymanie i prowadzenie Portalu powierzono Ubezpieczeniowemu Funduszowi Gwarancyjnemu („UFG”). Wybór tego podmiotu został podyktowany jego dotychczasowym zaangażowaniem w działania służące ochronie praw nabywców mieszkań. Wykorzystanie istniejących struktur przyczyni się ponadto do ograniczenia nie tylko kosztów postawienia i funkcjonowania szeroko pojętej infrastruktury nowego systemu, ale również obowiązków informacyjnych podmiotów zaangażowanych w system. Pozwoli także na zaadaptowanie do tego systemu dobrych praktyk wypracowanych w toku działania Ewidencji.</w:t>
      </w:r>
    </w:p>
    <w:p w14:paraId="4BC491B7"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Portal będzie tworzony i prowadzony w oparciu o trzy źródła danych mieszkaniowych:</w:t>
      </w:r>
    </w:p>
    <w:p w14:paraId="4F16EC20" w14:textId="77777777" w:rsidR="00DC6DF4" w:rsidRPr="005C158A" w:rsidRDefault="00DC6DF4" w:rsidP="0011422D">
      <w:pPr>
        <w:numPr>
          <w:ilvl w:val="0"/>
          <w:numId w:val="42"/>
        </w:numPr>
        <w:spacing w:before="120" w:after="120" w:line="360" w:lineRule="auto"/>
        <w:ind w:left="0" w:hanging="11"/>
        <w:contextualSpacing/>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dane z rynku pierwotnego dotyczące umów w zakresie mieszkań i domów jednorodzinnych objętych obowiązkiem prowadzenia mieszkaniowego rachunku powierniczego, pozyskiwane od podmiotów profesjonalnych obowiązanych do zgłaszania danych do Ewidencji</w:t>
      </w:r>
      <w:r w:rsidRPr="005C158A">
        <w:rPr>
          <w:rFonts w:ascii="Arial" w:eastAsia="Calibri" w:hAnsi="Arial" w:cs="Arial"/>
          <w:sz w:val="20"/>
          <w:szCs w:val="20"/>
        </w:rPr>
        <w:t xml:space="preserve"> </w:t>
      </w:r>
      <w:r w:rsidRPr="005C158A">
        <w:rPr>
          <w:rFonts w:ascii="Arial" w:eastAsia="Times New Roman" w:hAnsi="Arial" w:cs="Arial"/>
          <w:sz w:val="20"/>
          <w:szCs w:val="20"/>
          <w:lang w:eastAsia="pl-PL"/>
        </w:rPr>
        <w:t>Deweloperskiego Funduszu Gwarancyjnego,</w:t>
      </w:r>
    </w:p>
    <w:p w14:paraId="3D6D6EE0" w14:textId="77777777" w:rsidR="00DC6DF4" w:rsidRPr="005C158A" w:rsidRDefault="00DC6DF4" w:rsidP="0011422D">
      <w:pPr>
        <w:numPr>
          <w:ilvl w:val="0"/>
          <w:numId w:val="42"/>
        </w:numPr>
        <w:spacing w:before="120" w:after="120" w:line="360" w:lineRule="auto"/>
        <w:ind w:left="0" w:hanging="11"/>
        <w:contextualSpacing/>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dane z rynku pierwotnego dotyczące umów sprzedaży nieruchomości mieszkaniowych nieobjętych obowiązkiem prowadzenia mieszkaniowego rachunku powierniczego, pozyskiwane od podmiotów profesjonalnych nieobjętych obowiązkiem zgłaszania danych do Ewidencji,</w:t>
      </w:r>
    </w:p>
    <w:p w14:paraId="2A436CC1" w14:textId="77777777" w:rsidR="00DC6DF4" w:rsidRPr="005C158A" w:rsidRDefault="00DC6DF4" w:rsidP="0011422D">
      <w:pPr>
        <w:numPr>
          <w:ilvl w:val="0"/>
          <w:numId w:val="42"/>
        </w:numPr>
        <w:spacing w:before="120" w:after="120" w:line="360" w:lineRule="auto"/>
        <w:ind w:left="0" w:hanging="11"/>
        <w:contextualSpacing/>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dane z rynku wtórnego przekazywane przez Szefa Krajowej Administracji Skarbowej w oparciu o informacje wynikające z aktów notarialnych zgłaszanych przez notariuszy.</w:t>
      </w:r>
    </w:p>
    <w:p w14:paraId="77AFF8BC"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We wszystkich tych przypadkach katalog danych i informacji pozyskiwanych na potrzeby Portalu został ograniczony wyłącznie do danych motywowanych celami Portalu. Ogranicza to ryzyko wystąpienia sytuacji wykorzystania na potrzeby Portalu tych danych z Ewidencji, które służą wyłącznie ochronie transakcji podejmowanych na gruncie ustawy deweloperskiej i monitorowaniu płynności DFG.</w:t>
      </w:r>
    </w:p>
    <w:p w14:paraId="34E62F38"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W zakresie pierwszego źródła, w celu niepowielania obowiązków informacyjnych podmiotów zaangażowanych w tworzenie systemu informacji o cenach transakcyjnych mieszkań, dane niezbędne do uruchomienia i prowadzenia Portalu będą przekazywane z Ewidencji. Przesądzenie to wymaga uzupełnienia wskazanych w </w:t>
      </w:r>
      <w:r w:rsidRPr="005C158A">
        <w:rPr>
          <w:rFonts w:ascii="Arial" w:eastAsia="Times New Roman" w:hAnsi="Arial" w:cs="Arial"/>
          <w:b/>
          <w:bCs/>
          <w:sz w:val="20"/>
          <w:szCs w:val="20"/>
          <w:lang w:eastAsia="pl-PL"/>
        </w:rPr>
        <w:t xml:space="preserve">art. 50 ust. 2 </w:t>
      </w:r>
      <w:r w:rsidRPr="005C158A">
        <w:rPr>
          <w:rFonts w:ascii="Arial" w:eastAsia="Times New Roman" w:hAnsi="Arial" w:cs="Arial"/>
          <w:sz w:val="20"/>
          <w:szCs w:val="20"/>
          <w:lang w:eastAsia="pl-PL"/>
        </w:rPr>
        <w:t xml:space="preserve">ustawy deweloperskiej kategorii danych i informacji zgłaszanych do tego rejestru w zakresie umów, o których mowa w art. 2 ust. 1 ustawy (art. 48 pkt 3). Poza gromadzonymi już w Ewidencji danymi identyfikującymi nabywcę (w tym PESEL), datą zawarcia umowy deweloperskiej oraz numerem księgi wieczystej nieruchomości objętej umową i adresem tej nieruchomości, użytecznymi także w kontekście działania Portalu, zgłoszenia do Ewidencji będą wymagać rodzaj obiektu będącego przedmiotem umowy, cena lokalu / domu jednorodzinnego, jego powierzchnia użytkowa, liczba pokoi, kondygnacja budynku, na której znajduje się lokal mieszkalny objęty umową oraz liczba kondygnacji tego budynku, a także termin zakończenia prac budowlanych oraz dane identyfikujące akt notarialny. Ostatnia dana nie będzie jednak dotyczyła umowy zobowiązującej do przeniesienia własności nieruchomości mieszkaniowej na nabywcę, a dopiero umowy przenoszącej własność tej nieruchomości. Ma to przyczynić się do sprawniejszej weryfikacji przez UFG danych z rynku pierwotnego w celu uniknięcia powielania w Portalu danych i informacji </w:t>
      </w:r>
      <w:r w:rsidRPr="005C158A">
        <w:rPr>
          <w:rFonts w:ascii="Arial" w:eastAsia="Times New Roman" w:hAnsi="Arial" w:cs="Arial"/>
          <w:sz w:val="20"/>
          <w:szCs w:val="20"/>
          <w:lang w:eastAsia="pl-PL"/>
        </w:rPr>
        <w:lastRenderedPageBreak/>
        <w:t>dotyczących tych samych transakcji wskutek pozyskiwania tych kategorii danych z różnych źródeł (od deweloperów oraz od notariuszy za pośrednictwem KAS).</w:t>
      </w:r>
    </w:p>
    <w:p w14:paraId="7DAE58F9"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Obecnie przekazywane do Ewidencji dane i informacje nie pozwalają na określenie realnych, rynkowych cen nieruchomości będących przedmiotem umów zawieranych z nabywcami. Dane i informacje o umowach, o których mowa w art. 2 ust. 1 ustawy deweloperskiej, w szczególności dane o cenie lokalu mieszkalnego lub domu jednorodzinnego, są jednocześnie jednymi z kluczowych danych na etapie wypłaty środków z DFG na rzecz nabywców. Pozyskanie dodatkowych danych i informacji w tym zakresie przełoży się na bardziej efektywne szacowanie kosztów potencjalnych wypłat z DFG w przypadku odstąpienia przez nabywcę od umowy. Wpłynie również na usprawnienie, a co za tym idzie, na przyspieszenie procesu ewentualnej weryfikacji wniosków nabywców występujących o wypłatę środków z DFG w przypadku odstąpienia od umowy, co może przyczynić się do skrócenia okresu dokonywania przez DFG zwrotów środków na rzecz nabywców.</w:t>
      </w:r>
    </w:p>
    <w:p w14:paraId="24983C4C"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Zgodnie ze zmianą proponowaną w </w:t>
      </w:r>
      <w:r w:rsidRPr="005C158A">
        <w:rPr>
          <w:rFonts w:ascii="Arial" w:eastAsia="Times New Roman" w:hAnsi="Arial" w:cs="Arial"/>
          <w:b/>
          <w:bCs/>
          <w:sz w:val="20"/>
          <w:szCs w:val="20"/>
          <w:lang w:eastAsia="pl-PL"/>
        </w:rPr>
        <w:t>art. 51 ust. 1</w:t>
      </w:r>
      <w:r w:rsidRPr="005C158A">
        <w:rPr>
          <w:rFonts w:ascii="Arial" w:eastAsia="Times New Roman" w:hAnsi="Arial" w:cs="Arial"/>
          <w:sz w:val="20"/>
          <w:szCs w:val="20"/>
          <w:lang w:eastAsia="pl-PL"/>
        </w:rPr>
        <w:t xml:space="preserve"> informacje identyfikujące akt notarialny będą przekazywane przez banki (ze względu na fakt, że bank pozyskuje te informacje w celu stwierdzenia, czy może wypłacić deweloperowi ostatnią transzę środków z mieszkaniowego rachunku powierniczego), natomiast pozostałe dane – przez deweloperów na dotychczasowych zasadach obowiązujących przy realizacji obowiązku zgłoszenia do Ewidencji (art. 48 pkt 4).</w:t>
      </w:r>
    </w:p>
    <w:p w14:paraId="7F4E028D"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Poszerzenie katalogu gromadzonych w Ewidencji danych i informacji o umowach skutkuje objęciem dewelopera sankcją wstrzymania wypłaty środków z mieszkaniowego rachunku powierniczego również z tytułu nieprzekazania do Ewidencji nowych kategorii danych i informacji. Głównym celem funkcjonowania Deweloperskiego Funduszu Gwarancyjnego jest ochrona środków wpłacanych przez nabywców na poczet zawartych umów, która realizowana jest poprzez gwarancję zwrotu środków nabywcy m.in. w przypadku odstąpienia przez niego od umowy. Cel ten realizowany jest w oparciu o Ewidencję, w której gromadzone są dane i informacje przekazywane przez podmioty zasilające – banki i deweloperów. Funkcja rejestrowa zapewnia możliwość weryfikacji prawidłowości wykonywania obowiązków sprawozdawczych podmiotów zasilających wobec DFG. Objęcie poszerzonego zakresu danych i informacji o umowach, o których mowa w art. 2 ust. 1, wspomnianą sankcją zapewni kompletność i odpowiednią jakość danych i informacji przekazywanych do Ewidencji, co umożliwi realizację ustawowych celów DFG.</w:t>
      </w:r>
    </w:p>
    <w:p w14:paraId="6EC4DE58"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Uzupełnienie katalogu danych i informacji pozyskiwanych od podmiotów profesjonalnych obowiązanych do przekazywania danych do Ewidencji o dodatkowe kategorie danych oraz konieczność pozyskania na potrzeby Portalu kompletnych danych w zarysowanym zakresie również o umowach wpisanych już do Ewidencji (oraz o związanych z przedmiotem tych umów umowach przenoszących własność nieruchomości mieszkaniowej na nabywcę) uzasadniają także potrzebę wprowadzenia przepisów dostosowujących (</w:t>
      </w:r>
      <w:r w:rsidRPr="005C158A">
        <w:rPr>
          <w:rFonts w:ascii="Arial" w:eastAsia="Times New Roman" w:hAnsi="Arial" w:cs="Arial"/>
          <w:b/>
          <w:bCs/>
          <w:sz w:val="20"/>
          <w:szCs w:val="20"/>
          <w:lang w:eastAsia="pl-PL"/>
        </w:rPr>
        <w:t>art. 58 i art. 59</w:t>
      </w:r>
      <w:r w:rsidRPr="005C158A">
        <w:rPr>
          <w:rFonts w:ascii="Arial" w:eastAsia="Times New Roman" w:hAnsi="Arial" w:cs="Arial"/>
          <w:sz w:val="20"/>
          <w:szCs w:val="20"/>
          <w:lang w:eastAsia="pl-PL"/>
        </w:rPr>
        <w:t xml:space="preserve">). Obligują one banki i deweloperów, którzy zgłosili już dane do Ewidencji, do przekazania dodatkowych danych w tym przedmiocie. Sześciomiesięczny termin na realizację tego obowiązku, </w:t>
      </w:r>
      <w:r w:rsidRPr="005C158A">
        <w:rPr>
          <w:rFonts w:ascii="Arial" w:eastAsia="Times New Roman" w:hAnsi="Arial" w:cs="Arial"/>
          <w:sz w:val="20"/>
          <w:szCs w:val="20"/>
          <w:u w:val="single"/>
          <w:lang w:eastAsia="pl-PL"/>
        </w:rPr>
        <w:t>rozpoczynający bieg od dnia wejścia w życie przepisów wprowadzających do ustawy deweloperskiej nowe kategorie danych zgłaszanych do Ewidencji przez obowiązane podmioty</w:t>
      </w:r>
      <w:r w:rsidRPr="005C158A">
        <w:rPr>
          <w:rFonts w:ascii="Arial" w:eastAsia="Times New Roman" w:hAnsi="Arial" w:cs="Arial"/>
          <w:sz w:val="20"/>
          <w:szCs w:val="20"/>
          <w:lang w:eastAsia="pl-PL"/>
        </w:rPr>
        <w:t xml:space="preserve"> (przepisy art. 50 ust. 2 i art. 51 ust. 1 ustawy deweloperskiej w nowym brzmieniu wejdą w życie </w:t>
      </w:r>
      <w:r w:rsidRPr="005C158A">
        <w:rPr>
          <w:rFonts w:ascii="Arial" w:eastAsia="Times New Roman" w:hAnsi="Arial" w:cs="Arial"/>
          <w:sz w:val="20"/>
          <w:szCs w:val="20"/>
          <w:lang w:eastAsia="pl-PL"/>
        </w:rPr>
        <w:lastRenderedPageBreak/>
        <w:t>po upływie 9 miesięcy od dnia ogłoszenia ustawy nowelizującej), został podyktowany potrzebą zapewnienia adresatom norm odpowiedniego czasu na dokonanie uzupełnienia.</w:t>
      </w:r>
    </w:p>
    <w:p w14:paraId="1192D161"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Taki sam katalog danych i informacji będzie pozyskiwany w zakresie drugiego źródła danych (</w:t>
      </w:r>
      <w:r w:rsidRPr="005C158A">
        <w:rPr>
          <w:rFonts w:ascii="Arial" w:eastAsia="Times New Roman" w:hAnsi="Arial" w:cs="Arial"/>
          <w:b/>
          <w:bCs/>
          <w:sz w:val="20"/>
          <w:szCs w:val="20"/>
          <w:lang w:eastAsia="pl-PL"/>
        </w:rPr>
        <w:t>art. 56a ust. 2</w:t>
      </w:r>
      <w:r w:rsidRPr="005C158A">
        <w:rPr>
          <w:rFonts w:ascii="Arial" w:eastAsia="Times New Roman" w:hAnsi="Arial" w:cs="Arial"/>
          <w:sz w:val="20"/>
          <w:szCs w:val="20"/>
          <w:lang w:eastAsia="pl-PL"/>
        </w:rPr>
        <w:t>). W tym przypadku, z uwagi na brak obowiązku przekazywania danych i informacji o umowach sprzedaży, o których mowa w art. 3 pkt 1 i art. 4 pkt 1, do Ewidencji, wspomniane kategorie danych i informacji będą przekazywane przez podmioty profesjonalne bezpośrednio do Portalu. W przeciwieństwie do danych i informacji dotyczących umów objętych obowiązkiem zgłoszenia do Ewidencji, dotyczyć to będzie przy tym wyłącznie nowych transakcji, tj. transakcji dokonywanych po wejściu w życie znowelizowanych przepisów.</w:t>
      </w:r>
    </w:p>
    <w:p w14:paraId="48773002"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 Podobny katalog kategorii danych i informacji przyjęto też w kontekście rynku wtórnego. W tym przypadku jednak, z uwagi na brak możliwości pozyskania z aktów notarialnych danych dotyczących liczby kondygnacji budynku, w którym znajduje się lokal mieszkalny objęty umową, oraz terminu zakończenia robót budowlanych dotyczących budynku, w którym znajduje się lokal mieszkalny objęty umową, albo domu jednorodzinnego objętego umową, wykreślono te kategorie danych z katalogu. Nie wpłynie to jednak znacząco na wartość porównawczą dokonywanych zestawień statystycznych ze względu na ogromne zróżnicowanie nieruchomości sprzedawanych na rynku wtórnym. </w:t>
      </w:r>
    </w:p>
    <w:p w14:paraId="1F79984B"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Ze względu na fakt, że ostatnie źródło danych funkcjonuje poza systemem umów regulowanych ustawą deweloperską i zakresem definicyjnym tej ustawy, konieczne było rozszerzenie na potrzeby tej kategorii definicji nabywcy (funkcjonującej obecnie w ustawie tylko w kontekście rynku pierwotnego) na osoby fizyczne, które nabywają mieszkania albo domy jednorodzinne na rynku wtórnym.</w:t>
      </w:r>
    </w:p>
    <w:p w14:paraId="16D42760"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Wybór takiego zakresu danych i informacji pozyskiwanych na potrzeby Portalu jest umotywowany celem jego uruchomienia i projektowanymi funkcjonalnościami. Zebrane dane mają umożliwiać prezentację danych statystycznych w przekrojach terytorialnym, czasowym i rodzajowym, pozwalając osobom zainteresowanym nabyciem mieszkania lub domu zorientowanie się w cenach nieruchomości mieszkaniowych na wybranym terenie i w wybranym czasie, a w konsekwencji wybór najkorzystniejszej oferty z grona im dostępnych. Szczegółowe informacje, takie jak np. informacje pozwalające na ustalenie wieku nabywcy, będą natomiast dostępne wyłącznie ograniczonemu gronu podmiotów realizujących zadania publiczne i tylko wówczas, jeżeli będą one niezbędne do realizacji zadań ustawowych tych podmiotów.</w:t>
      </w:r>
    </w:p>
    <w:p w14:paraId="63F75534"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W celu zapewnienia wiarygodnej i aktualnej informacji z rynku pierwotnego dane i informacje z Ewidencji będą przekazywane do Portalu niezwłocznie, nie później niż w terminie 7 dni od dnia przekazania przez właściwe podmioty tych danych lub informacji do Ewidencji (</w:t>
      </w:r>
      <w:r w:rsidRPr="005C158A">
        <w:rPr>
          <w:rFonts w:ascii="Arial" w:eastAsia="Times New Roman" w:hAnsi="Arial" w:cs="Arial"/>
          <w:b/>
          <w:bCs/>
          <w:sz w:val="20"/>
          <w:szCs w:val="20"/>
          <w:lang w:eastAsia="pl-PL"/>
        </w:rPr>
        <w:t>art. 56b</w:t>
      </w:r>
      <w:r w:rsidRPr="005C158A">
        <w:rPr>
          <w:rFonts w:ascii="Arial" w:eastAsia="Times New Roman" w:hAnsi="Arial" w:cs="Arial"/>
          <w:sz w:val="20"/>
          <w:szCs w:val="20"/>
          <w:lang w:eastAsia="pl-PL"/>
        </w:rPr>
        <w:t xml:space="preserve">). Dane i informacje dotyczące umów sprzedaży mieszkań i domów jednorodzinnych na rynku pierwotnym będą przekazywane przez podmioty profesjonalne także za pośrednictwem systemu teleinformatycznego. W celu ograniczenia niedogodności dla uczestników systemu, przy ustalaniu terminu przekazywania tych danych i informacji również odniesiono się do rozwiązań funkcjonujących w kontekście zgłaszania danych do Ewidencji. Przyjęto, że podmiot profesjonalny przekazuje dane lub informacje niezwłocznie, nie później niż w terminie 7 dni od dnia zawarcia umowy, której te dane lub informacje dotyczą. Zasady, sposób i termin </w:t>
      </w:r>
      <w:r w:rsidRPr="005C158A">
        <w:rPr>
          <w:rFonts w:ascii="Arial" w:eastAsia="Times New Roman" w:hAnsi="Arial" w:cs="Arial"/>
          <w:sz w:val="20"/>
          <w:szCs w:val="20"/>
          <w:lang w:eastAsia="pl-PL"/>
        </w:rPr>
        <w:lastRenderedPageBreak/>
        <w:t>przekazywania danych i informacji z rynku wtórnego określi natomiast umowa zawarta między UFG a Szefem Krajowej Administracji Skarbowej.</w:t>
      </w:r>
    </w:p>
    <w:p w14:paraId="228CA919"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W celu zapewnienia regularnego dostarczania do Portalu danych i informacji o umowach sprzedaży na rynku pierwotnym oraz rzetelnej realizacji tego obowiązku niezbędne jest zaprojektowanie przepisów przewidujących sankcje za niewypełnianie obowiązków w tym przedmiocie również w odniesieniu do podmiotów profesjonalnych nieobjętych obowiązkiem zgłaszania danych i informacji do Ewidencji. Przepisy w tym zakresie zostały zaproponowane w art. 48 pkt 8-10 (</w:t>
      </w:r>
      <w:r w:rsidRPr="005C158A">
        <w:rPr>
          <w:rFonts w:ascii="Arial" w:eastAsia="Times New Roman" w:hAnsi="Arial" w:cs="Arial"/>
          <w:b/>
          <w:bCs/>
          <w:sz w:val="20"/>
          <w:szCs w:val="20"/>
          <w:lang w:eastAsia="pl-PL"/>
        </w:rPr>
        <w:t>art. 60a-60c, art. 61 i art. 63</w:t>
      </w:r>
      <w:r w:rsidRPr="005C158A">
        <w:rPr>
          <w:rFonts w:ascii="Arial" w:eastAsia="Times New Roman" w:hAnsi="Arial" w:cs="Arial"/>
          <w:sz w:val="20"/>
          <w:szCs w:val="20"/>
          <w:lang w:eastAsia="pl-PL"/>
        </w:rPr>
        <w:t>).</w:t>
      </w:r>
    </w:p>
    <w:p w14:paraId="093FEB91"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Oparcie jednego ze źródeł danych i informacji dla Portalu na Ewidencji wymaga upoważnienia UFG do gromadzenia i przetwarzania danych i informacji zawartych w Ewidencji również w tym celu (</w:t>
      </w:r>
      <w:r w:rsidRPr="005C158A">
        <w:rPr>
          <w:rFonts w:ascii="Arial" w:eastAsia="Times New Roman" w:hAnsi="Arial" w:cs="Arial"/>
          <w:b/>
          <w:bCs/>
          <w:sz w:val="20"/>
          <w:szCs w:val="20"/>
          <w:lang w:eastAsia="pl-PL"/>
        </w:rPr>
        <w:t>art. 52</w:t>
      </w:r>
      <w:r w:rsidRPr="005C158A">
        <w:rPr>
          <w:rFonts w:ascii="Arial" w:eastAsia="Times New Roman" w:hAnsi="Arial" w:cs="Arial"/>
          <w:sz w:val="20"/>
          <w:szCs w:val="20"/>
          <w:lang w:eastAsia="pl-PL"/>
        </w:rPr>
        <w:t>). Dane i informacje pozyskiwane na potrzeby Portalu UFG będzie natomiast przetwarzał w trzech celach (</w:t>
      </w:r>
      <w:r w:rsidRPr="005C158A">
        <w:rPr>
          <w:rFonts w:ascii="Arial" w:eastAsia="Times New Roman" w:hAnsi="Arial" w:cs="Arial"/>
          <w:b/>
          <w:bCs/>
          <w:sz w:val="20"/>
          <w:szCs w:val="20"/>
          <w:lang w:eastAsia="pl-PL"/>
        </w:rPr>
        <w:t>art. 56c ust. 1</w:t>
      </w:r>
      <w:r w:rsidRPr="005C158A">
        <w:rPr>
          <w:rFonts w:ascii="Arial" w:eastAsia="Times New Roman" w:hAnsi="Arial" w:cs="Arial"/>
          <w:sz w:val="20"/>
          <w:szCs w:val="20"/>
          <w:lang w:eastAsia="pl-PL"/>
        </w:rPr>
        <w:t>). Pierwszym z nich będzie udostępnianie tych danych i informacji ustawowo wskazanym podmiotom (</w:t>
      </w:r>
      <w:r w:rsidRPr="005C158A">
        <w:rPr>
          <w:rFonts w:ascii="Arial" w:eastAsia="Times New Roman" w:hAnsi="Arial" w:cs="Arial"/>
          <w:b/>
          <w:bCs/>
          <w:sz w:val="20"/>
          <w:szCs w:val="20"/>
          <w:lang w:eastAsia="pl-PL"/>
        </w:rPr>
        <w:t>art. 56d</w:t>
      </w:r>
      <w:r w:rsidRPr="005C158A">
        <w:rPr>
          <w:rFonts w:ascii="Arial" w:eastAsia="Times New Roman" w:hAnsi="Arial" w:cs="Arial"/>
          <w:sz w:val="20"/>
          <w:szCs w:val="20"/>
          <w:lang w:eastAsia="pl-PL"/>
        </w:rPr>
        <w:t xml:space="preserve">) dla realizacji ich ustawowych zadań. Katalog tych podmiotów został zaprojektowany w oparciu o wspomniane zadania oraz działania tych podmiotów w obszarze statystyki mieszkaniowej. Dane i informacje gromadzone w Portalu będą im udostępniane w szczególności na potrzeby prowadzenia pogłębionych badań i analiz sytuacji na rynku nieruchomości mieszkaniowych w celu adekwatnego do niej reagowania na zjawiska i trendy ujawniające się w badanym obszarze. Dla usprawnienia współpracy w tym przedmiocie zaproponowano ponadto, by dane i informacje z Portalu były udostępniane tym podmiotom również na podstawie jednorazowego uproszczonego wniosku pod warunkiem, że dany podmiot spełnia wymogi w zakresie bezpieczeństwa danych. </w:t>
      </w:r>
    </w:p>
    <w:p w14:paraId="743CD817"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Drugim celem przetwarzania danych i informacji gromadzonych w Portalu przez UFG będzie udostępnianie w Portalu informacji o cenach transakcyjnych lokali mieszkalnych i domów jednorodzinnych (</w:t>
      </w:r>
      <w:r w:rsidRPr="005C158A">
        <w:rPr>
          <w:rFonts w:ascii="Arial" w:eastAsia="Times New Roman" w:hAnsi="Arial" w:cs="Arial"/>
          <w:b/>
          <w:bCs/>
          <w:sz w:val="20"/>
          <w:szCs w:val="20"/>
          <w:lang w:eastAsia="pl-PL"/>
        </w:rPr>
        <w:t>art. 56e</w:t>
      </w:r>
      <w:r w:rsidRPr="005C158A">
        <w:rPr>
          <w:rFonts w:ascii="Arial" w:eastAsia="Times New Roman" w:hAnsi="Arial" w:cs="Arial"/>
          <w:sz w:val="20"/>
          <w:szCs w:val="20"/>
          <w:lang w:eastAsia="pl-PL"/>
        </w:rPr>
        <w:t>). Jak wcześniej wspomniano, funkcją Portalu jest upublicznianie odpowiednio zagregowanych informacji statystycznych na temat cen transakcyjnych nieruchomości mieszkaniowych ułatwiających podejmowanie decyzji zakupowych, uniemożliwiających jednak ustalenie szczegółowych danych w przedmiocie konkretnych transakcji. Z tego względu będą tu upubliczniane informacje o liczbie transakcji oraz cenach transakcyjnych objętych tymi transakcjami lokali mieszkalnych i domów jednorodzinnych w lokalizacji, okresie i przekroju rodzajowym wybranych łącznie przez użytkownika Portalu. Dla zapewnienia właściwej ochrony interesów stron stosunków prawnych objętych danymi i informacjami przekazywanymi do Portalu oraz ich danych, w tym dla wyeliminowania ryzyka ustalenia danych konkretnych nabywców i danych dotyczących konkretnych transakcji, zaproponowano mechanizm, zgodnie z którym wyniki oparte na wybranych przez użytkownika Portalu parametrach będą mu prezentowane pod warunkiem, że liczba opartych na tych parametrach lokali mieszkalnych lub domów jednorodzinnych i nabywców będzie wyższa niż trzy. Użytkownik Portalu będzie mógł np. określić zakres czasowy oraz lokalizację transakcji. Dane zostaną zaprezentowane tylko, jeżeli spełniają ww. warunki. Np. jeżeli na danej ulicy zawarto w wybranych przekrojach czasowo-rodzajowych tylko 3 transakcje, dane nie będą udostępniane. Te same dane mogą być natomiast wykorzystane dla zobrazowania transakcji na wyższym poziomie terytorialnym (np. dzielnicy lub gminy). Ogranicza to ryzyko ujawnienia danych wrażliwych dla stron umów, w tym wyłącza ryzyko wystąpienia sytuacji, w której wskutek doboru parametrów przez użytkownika Portalu zostanie wyszukany tylko jeden wynik.</w:t>
      </w:r>
    </w:p>
    <w:p w14:paraId="5D3ACFF5"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lastRenderedPageBreak/>
        <w:t xml:space="preserve">Zakłada się, że dane będzie można sortować według wszystkich przekrojów rodzajowych danych i informacji gromadzonych w Portalu, np. liczby pokoi, powierzchni użytkowych, rynku pierwotnego lub wtórnego, domu jednorodzinnego lub lokalu mieszkalnego, umiejscowienia na danej kondygnacji itp. </w:t>
      </w:r>
    </w:p>
    <w:p w14:paraId="3448CF88"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Mając na względzie charakter Portalu jako punktu dostępu do informacji statystycznych o cenach transakcyjnych nieruchomości mieszkaniowych w różnych przekrojach czasowych oraz cele działania Portalu przesądzono jednocześnie, że dane i informacje gromadzone w Portalu będą usuwane najpóźniej z dniem zakończenia działania Portalu (</w:t>
      </w:r>
      <w:r w:rsidRPr="005C158A">
        <w:rPr>
          <w:rFonts w:ascii="Arial" w:eastAsia="Times New Roman" w:hAnsi="Arial" w:cs="Arial"/>
          <w:b/>
          <w:bCs/>
          <w:sz w:val="20"/>
          <w:szCs w:val="20"/>
          <w:lang w:eastAsia="pl-PL"/>
        </w:rPr>
        <w:t>art. 56c ust. 2</w:t>
      </w:r>
      <w:r w:rsidRPr="005C158A">
        <w:rPr>
          <w:rFonts w:ascii="Arial" w:eastAsia="Times New Roman" w:hAnsi="Arial" w:cs="Arial"/>
          <w:sz w:val="20"/>
          <w:szCs w:val="20"/>
          <w:lang w:eastAsia="pl-PL"/>
        </w:rPr>
        <w:t>).</w:t>
      </w:r>
    </w:p>
    <w:p w14:paraId="684E72F7" w14:textId="77777777" w:rsidR="00DC6DF4" w:rsidRPr="005C158A" w:rsidRDefault="00DC6DF4" w:rsidP="00DC6DF4">
      <w:pPr>
        <w:spacing w:after="120" w:line="360" w:lineRule="auto"/>
        <w:jc w:val="both"/>
        <w:rPr>
          <w:rFonts w:ascii="Arial" w:eastAsia="Times New Roman" w:hAnsi="Arial" w:cs="Arial"/>
          <w:sz w:val="20"/>
          <w:szCs w:val="20"/>
          <w:lang w:eastAsia="pl-PL"/>
        </w:rPr>
      </w:pPr>
      <w:r w:rsidRPr="005C158A">
        <w:rPr>
          <w:rFonts w:ascii="Arial" w:eastAsia="Times New Roman" w:hAnsi="Arial" w:cs="Arial"/>
          <w:sz w:val="20"/>
          <w:szCs w:val="20"/>
          <w:lang w:eastAsia="pl-PL"/>
        </w:rPr>
        <w:t xml:space="preserve">Realizacja zadania utworzenia, utrzymania i rozwijania Portalu wiąże się dla UFG z dodatkowymi kosztami finansowymi. Mając na względzie fakt, że Portal ma służyć ochronie praw nabywców mieszkań, a jego budowa będzie dokonywana w szczególności w oparciu o struktury informacyjne prowadzonej przez UFG Ewidencji Deweloperskiego Funduszu Gwarancyjnego, w art. 48 pkt 2 proponuje się uzupełnienie </w:t>
      </w:r>
      <w:r w:rsidRPr="005C158A">
        <w:rPr>
          <w:rFonts w:ascii="Arial" w:eastAsia="Times New Roman" w:hAnsi="Arial" w:cs="Arial"/>
          <w:b/>
          <w:bCs/>
          <w:sz w:val="20"/>
          <w:szCs w:val="20"/>
          <w:lang w:eastAsia="pl-PL"/>
        </w:rPr>
        <w:t>art. 48</w:t>
      </w:r>
      <w:r w:rsidRPr="005C158A">
        <w:rPr>
          <w:rFonts w:ascii="Arial" w:eastAsia="Times New Roman" w:hAnsi="Arial" w:cs="Arial"/>
          <w:sz w:val="20"/>
          <w:szCs w:val="20"/>
          <w:lang w:eastAsia="pl-PL"/>
        </w:rPr>
        <w:t xml:space="preserve"> ustawy deweloperskiej o wskazanie, że wspomniane wyżej koszty będą finansowane ze środków Deweloperskiego Funduszu Gwarancyjnego. Tym samym nie przewiduje się kosztów w tym przedmiocie po stronie budżetu państwa. </w:t>
      </w:r>
    </w:p>
    <w:p w14:paraId="1A21C081" w14:textId="2BA68367" w:rsidR="00DC6DF4" w:rsidRPr="005C158A" w:rsidRDefault="00DC6DF4" w:rsidP="00DC6DF4">
      <w:pPr>
        <w:pStyle w:val="Akapitzlist"/>
        <w:numPr>
          <w:ilvl w:val="0"/>
          <w:numId w:val="30"/>
        </w:numPr>
        <w:spacing w:before="120" w:after="120" w:line="360" w:lineRule="auto"/>
        <w:jc w:val="both"/>
        <w:rPr>
          <w:rFonts w:ascii="Arial" w:hAnsi="Arial" w:cs="Arial"/>
          <w:sz w:val="20"/>
          <w:szCs w:val="20"/>
        </w:rPr>
      </w:pPr>
      <w:r w:rsidRPr="005C158A">
        <w:rPr>
          <w:rFonts w:ascii="Arial" w:hAnsi="Arial" w:cs="Arial"/>
          <w:sz w:val="20"/>
          <w:szCs w:val="20"/>
        </w:rPr>
        <w:t>Pozostałe zmiany.</w:t>
      </w:r>
    </w:p>
    <w:p w14:paraId="6324CF5F" w14:textId="7C740F97" w:rsidR="00F3131D" w:rsidRPr="005C158A" w:rsidRDefault="00DC6DF4" w:rsidP="00F3131D">
      <w:pPr>
        <w:spacing w:before="120" w:after="120" w:line="360" w:lineRule="auto"/>
        <w:jc w:val="both"/>
        <w:rPr>
          <w:rFonts w:ascii="Arial" w:hAnsi="Arial" w:cs="Arial"/>
          <w:sz w:val="20"/>
          <w:szCs w:val="20"/>
        </w:rPr>
      </w:pPr>
      <w:r w:rsidRPr="005C158A">
        <w:rPr>
          <w:rFonts w:ascii="Arial" w:hAnsi="Arial" w:cs="Arial"/>
          <w:sz w:val="20"/>
          <w:szCs w:val="20"/>
        </w:rPr>
        <w:t>Niezależnie od powyższego, w</w:t>
      </w:r>
      <w:r w:rsidR="00F3131D" w:rsidRPr="005C158A">
        <w:rPr>
          <w:rFonts w:ascii="Arial" w:hAnsi="Arial" w:cs="Arial"/>
          <w:sz w:val="20"/>
          <w:szCs w:val="20"/>
        </w:rPr>
        <w:t xml:space="preserve"> ramach zmian ustawy o ochronie praw nabywcy lokalu mieszkalnego lub domu jednorodzinnego oraz Deweloperskim Funduszu Gwarancyjnym proponuje się nałożenie na Ubezpieczeniowy Fundusz Gwarancyjny obowiązku informowania ministra właściwego do spraw budownictwa, planowania i zagospodarowania przestrzennego o możliwości niedoboru środków w Deweloperskim Funduszu Gwarancyjnym i tym samym o potencjalnym ryzyku braku możliwości realizowania wypłat na rzecz nabywców lokali mieszkalnych lub domów jednorodzinnych w przypadku zaistnienia odpowiednich przesłanek (proponowany </w:t>
      </w:r>
      <w:r w:rsidR="00F3131D" w:rsidRPr="005C158A">
        <w:rPr>
          <w:rFonts w:ascii="Arial" w:hAnsi="Arial" w:cs="Arial"/>
          <w:b/>
          <w:bCs/>
          <w:sz w:val="20"/>
          <w:szCs w:val="20"/>
        </w:rPr>
        <w:t xml:space="preserve">art. 56 ust. 3 </w:t>
      </w:r>
      <w:r w:rsidR="00F3131D" w:rsidRPr="005C158A">
        <w:rPr>
          <w:rFonts w:ascii="Arial" w:hAnsi="Arial" w:cs="Arial"/>
          <w:sz w:val="20"/>
          <w:szCs w:val="20"/>
        </w:rPr>
        <w:t xml:space="preserve">ustawy). Obowiązek informowania ministra o możliwości wyczerpania środków w DFG w połączeniu z możliwością odroczenia wypłat będzie umożliwiał podjęcie wcześniejszej i odpowiednio wyważonej reakcji, zmierzającej do zapewnienia pełnej wydolności finansowej podmiotu zapewniającego bezpieczeństwo uczestników rynku deweloperskiego. </w:t>
      </w:r>
    </w:p>
    <w:p w14:paraId="7B1EE7C0" w14:textId="3193BEF3" w:rsidR="00A307A6" w:rsidRPr="005C158A" w:rsidRDefault="00F3131D" w:rsidP="00401710">
      <w:pPr>
        <w:spacing w:before="120" w:after="120" w:line="360" w:lineRule="auto"/>
        <w:jc w:val="both"/>
        <w:rPr>
          <w:rFonts w:ascii="Arial" w:hAnsi="Arial" w:cs="Arial"/>
          <w:sz w:val="20"/>
          <w:szCs w:val="20"/>
        </w:rPr>
      </w:pPr>
      <w:r w:rsidRPr="005C158A">
        <w:rPr>
          <w:rFonts w:ascii="Arial" w:hAnsi="Arial" w:cs="Arial"/>
          <w:sz w:val="20"/>
          <w:szCs w:val="20"/>
        </w:rPr>
        <w:t>Takie działanie zapewni możliwość szybkiego reagowania w przypadku ryzyka wyczerpania środków w DFG i powinno skutkować inicjatywą zmiany rozporządzenia przez ministra właściwego do spraw budownictwa, planowania i zagospodarowania przestrzennego oraz mieszkalnictwa, tak aby zapewnić możliwość realizacji zadań ustawowych w ramach DFG.</w:t>
      </w:r>
    </w:p>
    <w:p w14:paraId="1FB5CC86" w14:textId="327DE99E" w:rsidR="0064305F" w:rsidRPr="005C158A" w:rsidRDefault="00D9434F" w:rsidP="00401710">
      <w:pPr>
        <w:pStyle w:val="Nagwek1"/>
        <w:spacing w:before="120" w:after="120" w:line="360" w:lineRule="auto"/>
        <w:jc w:val="both"/>
        <w:rPr>
          <w:rFonts w:ascii="Arial" w:hAnsi="Arial" w:cs="Arial"/>
          <w:color w:val="auto"/>
          <w:sz w:val="20"/>
          <w:szCs w:val="20"/>
        </w:rPr>
      </w:pPr>
      <w:bookmarkStart w:id="122" w:name="_Toc138329792"/>
      <w:r w:rsidRPr="005C158A">
        <w:rPr>
          <w:rFonts w:ascii="Arial" w:hAnsi="Arial" w:cs="Arial"/>
          <w:color w:val="auto"/>
          <w:sz w:val="20"/>
          <w:szCs w:val="20"/>
        </w:rPr>
        <w:t>Ustawa</w:t>
      </w:r>
      <w:r w:rsidR="002466F1" w:rsidRPr="005C158A">
        <w:rPr>
          <w:rFonts w:ascii="Arial" w:hAnsi="Arial" w:cs="Arial"/>
          <w:color w:val="auto"/>
          <w:sz w:val="20"/>
          <w:szCs w:val="20"/>
        </w:rPr>
        <w:t xml:space="preserve"> z dnia 12 marca 2022 r. o pomocy obywatelom Ukrainy w związku z konfliktem zbrojnym na terytorium tego państwa</w:t>
      </w:r>
      <w:bookmarkEnd w:id="122"/>
    </w:p>
    <w:p w14:paraId="30F965AA" w14:textId="4CE35082" w:rsidR="00DF5335" w:rsidRPr="005C158A" w:rsidRDefault="002466F1" w:rsidP="00401710">
      <w:pPr>
        <w:spacing w:before="120" w:after="120" w:line="360" w:lineRule="auto"/>
        <w:jc w:val="both"/>
        <w:rPr>
          <w:rStyle w:val="markedcontent"/>
          <w:rFonts w:ascii="Arial" w:hAnsi="Arial" w:cs="Arial"/>
          <w:sz w:val="20"/>
          <w:szCs w:val="20"/>
        </w:rPr>
      </w:pPr>
      <w:r w:rsidRPr="005C158A">
        <w:rPr>
          <w:rFonts w:ascii="Arial" w:hAnsi="Arial" w:cs="Arial"/>
          <w:sz w:val="20"/>
          <w:szCs w:val="20"/>
        </w:rPr>
        <w:t>Projektowany art. 23aa ww</w:t>
      </w:r>
      <w:r w:rsidR="00273253" w:rsidRPr="005C158A">
        <w:rPr>
          <w:rFonts w:ascii="Arial" w:hAnsi="Arial" w:cs="Arial"/>
          <w:sz w:val="20"/>
          <w:szCs w:val="20"/>
        </w:rPr>
        <w:t>.</w:t>
      </w:r>
      <w:r w:rsidRPr="005C158A">
        <w:rPr>
          <w:rFonts w:ascii="Arial" w:hAnsi="Arial" w:cs="Arial"/>
          <w:sz w:val="20"/>
          <w:szCs w:val="20"/>
        </w:rPr>
        <w:t xml:space="preserve"> ustawy ma na celu </w:t>
      </w:r>
      <w:r w:rsidR="00273253" w:rsidRPr="005C158A">
        <w:rPr>
          <w:rFonts w:ascii="Arial" w:hAnsi="Arial" w:cs="Arial"/>
          <w:sz w:val="20"/>
          <w:szCs w:val="20"/>
        </w:rPr>
        <w:t>umożliwienie</w:t>
      </w:r>
      <w:r w:rsidRPr="005C158A">
        <w:rPr>
          <w:rFonts w:ascii="Arial" w:hAnsi="Arial" w:cs="Arial"/>
          <w:sz w:val="20"/>
          <w:szCs w:val="20"/>
        </w:rPr>
        <w:t xml:space="preserve"> obywatelom Ukrainy, których pobyt na terytorium Rzeczypospolitej Polskiej uznaje się za legalny</w:t>
      </w:r>
      <w:r w:rsidR="009E1043" w:rsidRPr="005C158A">
        <w:rPr>
          <w:rFonts w:ascii="Arial" w:hAnsi="Arial" w:cs="Arial"/>
          <w:sz w:val="20"/>
          <w:szCs w:val="20"/>
        </w:rPr>
        <w:t>,</w:t>
      </w:r>
      <w:r w:rsidRPr="005C158A">
        <w:rPr>
          <w:rFonts w:ascii="Arial" w:hAnsi="Arial" w:cs="Arial"/>
          <w:sz w:val="20"/>
          <w:szCs w:val="20"/>
        </w:rPr>
        <w:t xml:space="preserve"> wykonywania działalności </w:t>
      </w:r>
      <w:r w:rsidR="00672509" w:rsidRPr="005C158A">
        <w:rPr>
          <w:rFonts w:ascii="Arial" w:hAnsi="Arial" w:cs="Arial"/>
          <w:sz w:val="20"/>
          <w:szCs w:val="20"/>
        </w:rPr>
        <w:t>nierejestrowej</w:t>
      </w:r>
      <w:r w:rsidR="00273253" w:rsidRPr="005C158A">
        <w:rPr>
          <w:rFonts w:ascii="Arial" w:hAnsi="Arial" w:cs="Arial"/>
          <w:sz w:val="20"/>
          <w:szCs w:val="20"/>
        </w:rPr>
        <w:t>, o</w:t>
      </w:r>
      <w:r w:rsidR="00295358" w:rsidRPr="005C158A">
        <w:rPr>
          <w:rFonts w:ascii="Arial" w:hAnsi="Arial" w:cs="Arial"/>
          <w:sz w:val="20"/>
          <w:szCs w:val="20"/>
        </w:rPr>
        <w:t> </w:t>
      </w:r>
      <w:r w:rsidR="00273253" w:rsidRPr="005C158A">
        <w:rPr>
          <w:rFonts w:ascii="Arial" w:hAnsi="Arial" w:cs="Arial"/>
          <w:sz w:val="20"/>
          <w:szCs w:val="20"/>
        </w:rPr>
        <w:t xml:space="preserve">której mowa w art. 5 </w:t>
      </w:r>
      <w:proofErr w:type="spellStart"/>
      <w:r w:rsidR="00273253" w:rsidRPr="005C158A">
        <w:rPr>
          <w:rFonts w:ascii="Arial" w:hAnsi="Arial" w:cs="Arial"/>
          <w:sz w:val="20"/>
          <w:szCs w:val="20"/>
        </w:rPr>
        <w:t>Pp</w:t>
      </w:r>
      <w:proofErr w:type="spellEnd"/>
      <w:r w:rsidR="00273253" w:rsidRPr="005C158A">
        <w:rPr>
          <w:rFonts w:ascii="Arial" w:hAnsi="Arial" w:cs="Arial"/>
          <w:sz w:val="20"/>
          <w:szCs w:val="20"/>
        </w:rPr>
        <w:t xml:space="preserve">, </w:t>
      </w:r>
      <w:r w:rsidRPr="005C158A">
        <w:rPr>
          <w:rFonts w:ascii="Arial" w:hAnsi="Arial" w:cs="Arial"/>
          <w:sz w:val="20"/>
          <w:szCs w:val="20"/>
        </w:rPr>
        <w:t>na takich samych zasadach jak obywatele polscy</w:t>
      </w:r>
      <w:r w:rsidR="00273253" w:rsidRPr="005C158A">
        <w:rPr>
          <w:rFonts w:ascii="Arial" w:hAnsi="Arial" w:cs="Arial"/>
          <w:sz w:val="20"/>
          <w:szCs w:val="20"/>
        </w:rPr>
        <w:t>.</w:t>
      </w:r>
      <w:r w:rsidR="00DF5335" w:rsidRPr="005C158A">
        <w:rPr>
          <w:rFonts w:ascii="Arial" w:hAnsi="Arial" w:cs="Arial"/>
          <w:sz w:val="20"/>
          <w:szCs w:val="20"/>
        </w:rPr>
        <w:t xml:space="preserve"> </w:t>
      </w:r>
      <w:bookmarkStart w:id="123" w:name="_Toc120091416"/>
      <w:r w:rsidR="00DF5335" w:rsidRPr="005C158A">
        <w:rPr>
          <w:rFonts w:ascii="Arial" w:hAnsi="Arial" w:cs="Arial"/>
          <w:sz w:val="20"/>
          <w:szCs w:val="20"/>
        </w:rPr>
        <w:t xml:space="preserve">Jest to zmiana analogiczna do tej dokonywanej w samym </w:t>
      </w:r>
      <w:proofErr w:type="spellStart"/>
      <w:r w:rsidR="00DF5335" w:rsidRPr="005C158A">
        <w:rPr>
          <w:rFonts w:ascii="Arial" w:hAnsi="Arial" w:cs="Arial"/>
          <w:sz w:val="20"/>
          <w:szCs w:val="20"/>
        </w:rPr>
        <w:t>Pp</w:t>
      </w:r>
      <w:proofErr w:type="spellEnd"/>
      <w:r w:rsidR="00DF5335" w:rsidRPr="005C158A">
        <w:rPr>
          <w:rFonts w:ascii="Arial" w:hAnsi="Arial" w:cs="Arial"/>
          <w:sz w:val="20"/>
          <w:szCs w:val="20"/>
        </w:rPr>
        <w:t xml:space="preserve"> (zob. wyżej) i związana jest z faktem, że na mocy nowelizowanej ustawy (art. 23 tejże) dopuszczone jest </w:t>
      </w:r>
      <w:r w:rsidR="00DF5335" w:rsidRPr="005C158A">
        <w:rPr>
          <w:rStyle w:val="markedcontent"/>
          <w:rFonts w:ascii="Arial" w:hAnsi="Arial" w:cs="Arial"/>
          <w:sz w:val="20"/>
          <w:szCs w:val="20"/>
        </w:rPr>
        <w:t xml:space="preserve">podejmowanie i wykonywanie działalności </w:t>
      </w:r>
      <w:r w:rsidR="00DF5335" w:rsidRPr="005C158A">
        <w:rPr>
          <w:rStyle w:val="highlight"/>
          <w:rFonts w:ascii="Arial" w:hAnsi="Arial" w:cs="Arial"/>
          <w:sz w:val="20"/>
          <w:szCs w:val="20"/>
        </w:rPr>
        <w:t>gospodarcz</w:t>
      </w:r>
      <w:r w:rsidR="00DF5335" w:rsidRPr="005C158A">
        <w:rPr>
          <w:rStyle w:val="markedcontent"/>
          <w:rFonts w:ascii="Arial" w:hAnsi="Arial" w:cs="Arial"/>
          <w:sz w:val="20"/>
          <w:szCs w:val="20"/>
        </w:rPr>
        <w:t xml:space="preserve">ej na terytorium Rzeczypospolitej Polskiej przez obywateli wschodniego sąsiada Polski; przy czym jest to </w:t>
      </w:r>
      <w:r w:rsidR="00DF5335" w:rsidRPr="005C158A">
        <w:rPr>
          <w:rStyle w:val="markedcontent"/>
          <w:rFonts w:ascii="Arial" w:hAnsi="Arial" w:cs="Arial"/>
          <w:sz w:val="20"/>
          <w:szCs w:val="20"/>
        </w:rPr>
        <w:lastRenderedPageBreak/>
        <w:t xml:space="preserve">podstawa prawna inna niż ta wynikająca z ustawy </w:t>
      </w:r>
      <w:r w:rsidR="00DF5335" w:rsidRPr="005C158A">
        <w:rPr>
          <w:rFonts w:ascii="Arial" w:hAnsi="Arial" w:cs="Arial"/>
          <w:sz w:val="20"/>
          <w:szCs w:val="20"/>
        </w:rPr>
        <w:t>z dnia 6 marca 2018 r. o zasadach uczestnictwa przedsiębiorców zagranicznych i innych osób zagranicznych w obrocie gospodarczym na terytorium Rzeczypospolitej Polskiej</w:t>
      </w:r>
      <w:r w:rsidR="00DF5335" w:rsidRPr="005C158A">
        <w:rPr>
          <w:rStyle w:val="markedcontent"/>
          <w:rFonts w:ascii="Arial" w:hAnsi="Arial" w:cs="Arial"/>
          <w:sz w:val="20"/>
          <w:szCs w:val="20"/>
        </w:rPr>
        <w:t>. Nie ma natomiast racjonalnego uzasadnienia dla dokonywania dystynkcji sytuacji i uprawnień pomiędzy grupami obcokrajowców, którym ustawodawca przyznaje możliwość rozpoczynania biznesu w naszym kraju.</w:t>
      </w:r>
    </w:p>
    <w:p w14:paraId="5ADCDEA8" w14:textId="36558DB4" w:rsidR="00D25283" w:rsidRPr="005C158A" w:rsidRDefault="00D25283" w:rsidP="00401710">
      <w:pPr>
        <w:pStyle w:val="Nagwek1"/>
        <w:spacing w:before="120" w:after="120" w:line="360" w:lineRule="auto"/>
        <w:jc w:val="both"/>
        <w:rPr>
          <w:rFonts w:ascii="Arial" w:hAnsi="Arial" w:cs="Arial"/>
          <w:color w:val="auto"/>
          <w:sz w:val="20"/>
          <w:szCs w:val="20"/>
        </w:rPr>
      </w:pPr>
      <w:bookmarkStart w:id="124" w:name="_Toc138329793"/>
      <w:r w:rsidRPr="005C158A">
        <w:rPr>
          <w:rFonts w:ascii="Arial" w:hAnsi="Arial" w:cs="Arial"/>
          <w:color w:val="auto"/>
          <w:sz w:val="20"/>
          <w:szCs w:val="20"/>
        </w:rPr>
        <w:t xml:space="preserve">Realizacja art. 66 Prawa przedsiębiorców oraz ocena przewidywanego wpływu projektu ustawy na działalność </w:t>
      </w:r>
      <w:proofErr w:type="spellStart"/>
      <w:r w:rsidRPr="005C158A">
        <w:rPr>
          <w:rFonts w:ascii="Arial" w:hAnsi="Arial" w:cs="Arial"/>
          <w:color w:val="auto"/>
          <w:sz w:val="20"/>
          <w:szCs w:val="20"/>
        </w:rPr>
        <w:t>mikroprzedsiębiorców</w:t>
      </w:r>
      <w:proofErr w:type="spellEnd"/>
      <w:r w:rsidRPr="005C158A">
        <w:rPr>
          <w:rFonts w:ascii="Arial" w:hAnsi="Arial" w:cs="Arial"/>
          <w:color w:val="auto"/>
          <w:sz w:val="20"/>
          <w:szCs w:val="20"/>
        </w:rPr>
        <w:t xml:space="preserve"> oraz małych i średnich przedsiębiorców</w:t>
      </w:r>
      <w:bookmarkEnd w:id="123"/>
      <w:bookmarkEnd w:id="124"/>
    </w:p>
    <w:p w14:paraId="06B474B1" w14:textId="28CEEC2C" w:rsidR="0042425B" w:rsidRPr="005C158A" w:rsidRDefault="00D25283" w:rsidP="00401710">
      <w:pPr>
        <w:spacing w:before="120" w:after="120" w:line="360" w:lineRule="auto"/>
        <w:jc w:val="both"/>
        <w:rPr>
          <w:rFonts w:ascii="Arial" w:hAnsi="Arial" w:cs="Arial"/>
          <w:sz w:val="20"/>
          <w:szCs w:val="20"/>
        </w:rPr>
      </w:pPr>
      <w:r w:rsidRPr="005C158A">
        <w:rPr>
          <w:rFonts w:ascii="Arial" w:hAnsi="Arial" w:cs="Arial"/>
          <w:sz w:val="20"/>
          <w:szCs w:val="20"/>
        </w:rPr>
        <w:t>Niniejszy projekt ustawy będzie miał pozytywne odziaływanie na mikro-, małych i średnich przedsiębiorców</w:t>
      </w:r>
      <w:r w:rsidR="0042425B" w:rsidRPr="005C158A">
        <w:rPr>
          <w:rFonts w:ascii="Arial" w:hAnsi="Arial" w:cs="Arial"/>
          <w:sz w:val="20"/>
          <w:szCs w:val="20"/>
        </w:rPr>
        <w:t>.</w:t>
      </w:r>
      <w:r w:rsidR="004540C6" w:rsidRPr="005C158A">
        <w:rPr>
          <w:rFonts w:ascii="Arial" w:hAnsi="Arial" w:cs="Arial"/>
          <w:sz w:val="20"/>
          <w:szCs w:val="20"/>
        </w:rPr>
        <w:t xml:space="preserve"> </w:t>
      </w:r>
    </w:p>
    <w:p w14:paraId="63072AE2" w14:textId="78959100" w:rsidR="0042425B" w:rsidRPr="005C158A" w:rsidRDefault="004540C6"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Ulegną </w:t>
      </w:r>
      <w:r w:rsidR="0042425B" w:rsidRPr="005C158A">
        <w:rPr>
          <w:rFonts w:ascii="Arial" w:hAnsi="Arial" w:cs="Arial"/>
          <w:sz w:val="20"/>
          <w:szCs w:val="20"/>
        </w:rPr>
        <w:t>zmniejszeni</w:t>
      </w:r>
      <w:r w:rsidRPr="005C158A">
        <w:rPr>
          <w:rFonts w:ascii="Arial" w:hAnsi="Arial" w:cs="Arial"/>
          <w:sz w:val="20"/>
          <w:szCs w:val="20"/>
        </w:rPr>
        <w:t>u</w:t>
      </w:r>
      <w:r w:rsidR="0042425B" w:rsidRPr="005C158A">
        <w:rPr>
          <w:rFonts w:ascii="Arial" w:hAnsi="Arial" w:cs="Arial"/>
          <w:sz w:val="20"/>
          <w:szCs w:val="20"/>
        </w:rPr>
        <w:t xml:space="preserve"> obowiązk</w:t>
      </w:r>
      <w:r w:rsidRPr="005C158A">
        <w:rPr>
          <w:rFonts w:ascii="Arial" w:hAnsi="Arial" w:cs="Arial"/>
          <w:sz w:val="20"/>
          <w:szCs w:val="20"/>
        </w:rPr>
        <w:t>i</w:t>
      </w:r>
      <w:r w:rsidR="0042425B" w:rsidRPr="005C158A">
        <w:rPr>
          <w:rFonts w:ascii="Arial" w:hAnsi="Arial" w:cs="Arial"/>
          <w:sz w:val="20"/>
          <w:szCs w:val="20"/>
        </w:rPr>
        <w:t xml:space="preserve"> administracyjn</w:t>
      </w:r>
      <w:r w:rsidRPr="005C158A">
        <w:rPr>
          <w:rFonts w:ascii="Arial" w:hAnsi="Arial" w:cs="Arial"/>
          <w:sz w:val="20"/>
          <w:szCs w:val="20"/>
        </w:rPr>
        <w:t>e</w:t>
      </w:r>
      <w:r w:rsidR="0042425B" w:rsidRPr="005C158A">
        <w:rPr>
          <w:rFonts w:ascii="Arial" w:hAnsi="Arial" w:cs="Arial"/>
          <w:sz w:val="20"/>
          <w:szCs w:val="20"/>
        </w:rPr>
        <w:t>, w tym m.in.</w:t>
      </w:r>
      <w:r w:rsidR="00CA1DC5">
        <w:rPr>
          <w:rFonts w:ascii="Arial" w:hAnsi="Arial" w:cs="Arial"/>
          <w:sz w:val="20"/>
          <w:szCs w:val="20"/>
        </w:rPr>
        <w:t xml:space="preserve"> braku konieczności</w:t>
      </w:r>
      <w:r w:rsidR="0042425B" w:rsidRPr="005C158A">
        <w:rPr>
          <w:rFonts w:ascii="Arial" w:hAnsi="Arial" w:cs="Arial"/>
          <w:sz w:val="20"/>
          <w:szCs w:val="20"/>
        </w:rPr>
        <w:t xml:space="preserve"> </w:t>
      </w:r>
      <w:r w:rsidR="00CA1DC5">
        <w:rPr>
          <w:rFonts w:ascii="Arial" w:hAnsi="Arial" w:cs="Arial"/>
          <w:sz w:val="20"/>
          <w:szCs w:val="20"/>
        </w:rPr>
        <w:t>przedkładania</w:t>
      </w:r>
      <w:r w:rsidR="008B1648">
        <w:rPr>
          <w:rFonts w:ascii="Arial" w:hAnsi="Arial" w:cs="Arial"/>
          <w:sz w:val="20"/>
          <w:szCs w:val="20"/>
        </w:rPr>
        <w:t xml:space="preserve"> dokumentów prokury</w:t>
      </w:r>
      <w:r w:rsidR="00CA1DC5">
        <w:rPr>
          <w:rFonts w:ascii="Arial" w:hAnsi="Arial" w:cs="Arial"/>
          <w:sz w:val="20"/>
          <w:szCs w:val="20"/>
        </w:rPr>
        <w:t xml:space="preserve"> (pełnomocnictwa) jeżeli zostały one</w:t>
      </w:r>
      <w:r w:rsidR="00CA1DC5" w:rsidRPr="005C158A">
        <w:rPr>
          <w:rFonts w:ascii="Arial" w:hAnsi="Arial" w:cs="Arial"/>
          <w:sz w:val="20"/>
          <w:szCs w:val="20"/>
        </w:rPr>
        <w:t xml:space="preserve"> ujawnione w rejestrze, wyciągu bądź ewidencji</w:t>
      </w:r>
      <w:r w:rsidR="00CA1DC5">
        <w:rPr>
          <w:rFonts w:ascii="Arial" w:hAnsi="Arial" w:cs="Arial"/>
          <w:sz w:val="20"/>
          <w:szCs w:val="20"/>
        </w:rPr>
        <w:t xml:space="preserve">; ograniczenie osobistego stawiennictwa w siedzibie urzędu.  </w:t>
      </w:r>
      <w:r w:rsidRPr="005C158A">
        <w:rPr>
          <w:rFonts w:ascii="Arial" w:hAnsi="Arial" w:cs="Arial"/>
          <w:sz w:val="20"/>
          <w:szCs w:val="20"/>
        </w:rPr>
        <w:t>Nastąpi s</w:t>
      </w:r>
      <w:r w:rsidR="0042425B" w:rsidRPr="005C158A">
        <w:rPr>
          <w:rFonts w:ascii="Arial" w:hAnsi="Arial" w:cs="Arial"/>
          <w:sz w:val="20"/>
          <w:szCs w:val="20"/>
        </w:rPr>
        <w:t>zybsze i sprawniejsze rozpoznawanie spraw</w:t>
      </w:r>
      <w:r w:rsidRPr="005C158A">
        <w:rPr>
          <w:rFonts w:ascii="Arial" w:hAnsi="Arial" w:cs="Arial"/>
          <w:sz w:val="20"/>
          <w:szCs w:val="20"/>
        </w:rPr>
        <w:t>, a także</w:t>
      </w:r>
      <w:r w:rsidR="0042425B" w:rsidRPr="005C158A">
        <w:rPr>
          <w:rFonts w:ascii="Arial" w:hAnsi="Arial" w:cs="Arial"/>
          <w:sz w:val="20"/>
          <w:szCs w:val="20"/>
        </w:rPr>
        <w:t xml:space="preserve"> </w:t>
      </w:r>
      <w:r w:rsidR="004D3063" w:rsidRPr="005C158A">
        <w:rPr>
          <w:rFonts w:ascii="Arial" w:hAnsi="Arial" w:cs="Arial"/>
          <w:sz w:val="20"/>
          <w:szCs w:val="20"/>
        </w:rPr>
        <w:t xml:space="preserve">usprawnienie </w:t>
      </w:r>
      <w:r w:rsidR="0042425B" w:rsidRPr="005C158A">
        <w:rPr>
          <w:rFonts w:ascii="Arial" w:hAnsi="Arial" w:cs="Arial"/>
          <w:sz w:val="20"/>
          <w:szCs w:val="20"/>
        </w:rPr>
        <w:t>niektórych postępowań administracyjnych poprzez odejście od zasady dwuinstancyjności.</w:t>
      </w:r>
    </w:p>
    <w:p w14:paraId="25050D6D" w14:textId="6F8127DC" w:rsidR="0042425B" w:rsidRPr="005C158A" w:rsidRDefault="0042425B" w:rsidP="00401710">
      <w:pPr>
        <w:spacing w:before="120" w:after="120" w:line="360" w:lineRule="auto"/>
        <w:jc w:val="both"/>
        <w:rPr>
          <w:rFonts w:ascii="Arial" w:hAnsi="Arial" w:cs="Arial"/>
          <w:sz w:val="20"/>
          <w:szCs w:val="20"/>
        </w:rPr>
      </w:pPr>
      <w:r w:rsidRPr="005C158A">
        <w:rPr>
          <w:rFonts w:ascii="Arial" w:hAnsi="Arial" w:cs="Arial"/>
          <w:sz w:val="20"/>
          <w:szCs w:val="20"/>
        </w:rPr>
        <w:t>Skuteczn</w:t>
      </w:r>
      <w:r w:rsidR="004540C6" w:rsidRPr="005C158A">
        <w:rPr>
          <w:rFonts w:ascii="Arial" w:hAnsi="Arial" w:cs="Arial"/>
          <w:sz w:val="20"/>
          <w:szCs w:val="20"/>
        </w:rPr>
        <w:t>iej</w:t>
      </w:r>
      <w:r w:rsidRPr="005C158A">
        <w:rPr>
          <w:rFonts w:ascii="Arial" w:hAnsi="Arial" w:cs="Arial"/>
          <w:sz w:val="20"/>
          <w:szCs w:val="20"/>
        </w:rPr>
        <w:t xml:space="preserve"> doręcz</w:t>
      </w:r>
      <w:r w:rsidR="004540C6" w:rsidRPr="005C158A">
        <w:rPr>
          <w:rFonts w:ascii="Arial" w:hAnsi="Arial" w:cs="Arial"/>
          <w:sz w:val="20"/>
          <w:szCs w:val="20"/>
        </w:rPr>
        <w:t>ane będą</w:t>
      </w:r>
      <w:r w:rsidRPr="005C158A">
        <w:rPr>
          <w:rFonts w:ascii="Arial" w:hAnsi="Arial" w:cs="Arial"/>
          <w:sz w:val="20"/>
          <w:szCs w:val="20"/>
        </w:rPr>
        <w:t xml:space="preserve"> pism</w:t>
      </w:r>
      <w:r w:rsidR="004D3063" w:rsidRPr="005C158A">
        <w:rPr>
          <w:rFonts w:ascii="Arial" w:hAnsi="Arial" w:cs="Arial"/>
          <w:sz w:val="20"/>
          <w:szCs w:val="20"/>
        </w:rPr>
        <w:t>a</w:t>
      </w:r>
      <w:r w:rsidRPr="005C158A">
        <w:rPr>
          <w:rFonts w:ascii="Arial" w:hAnsi="Arial" w:cs="Arial"/>
          <w:sz w:val="20"/>
          <w:szCs w:val="20"/>
        </w:rPr>
        <w:t xml:space="preserve"> w sytuacji, gdy podany przez osobę prawną adres nie istnieje, został wykreślony z rejestru lub jest niezgodny z odpowiednim rejestrem i nie można ustalić miejsca prowadzenia działalności.</w:t>
      </w:r>
    </w:p>
    <w:p w14:paraId="4DE0C299" w14:textId="7F968272" w:rsidR="0042425B" w:rsidRPr="005C158A" w:rsidRDefault="004540C6" w:rsidP="00401710">
      <w:pPr>
        <w:spacing w:before="120" w:after="120" w:line="360" w:lineRule="auto"/>
        <w:jc w:val="both"/>
        <w:rPr>
          <w:rFonts w:ascii="Arial" w:hAnsi="Arial" w:cs="Arial"/>
          <w:sz w:val="20"/>
          <w:szCs w:val="20"/>
        </w:rPr>
      </w:pPr>
      <w:r w:rsidRPr="005C158A">
        <w:rPr>
          <w:rFonts w:ascii="Arial" w:hAnsi="Arial" w:cs="Arial"/>
          <w:sz w:val="20"/>
          <w:szCs w:val="20"/>
        </w:rPr>
        <w:t>Nastąpi z</w:t>
      </w:r>
      <w:r w:rsidR="0042425B" w:rsidRPr="005C158A">
        <w:rPr>
          <w:rFonts w:ascii="Arial" w:hAnsi="Arial" w:cs="Arial"/>
          <w:sz w:val="20"/>
          <w:szCs w:val="20"/>
        </w:rPr>
        <w:t>mniejszenie uciążliwości kontroli dzięki możliwości zweryfikowania przez podmioty kontrolowane realizacji spoczywającego na organie obowiązku planowania kontroli i przeprowadzania analiz, możliwości wniesienia sprzeciwu wobec czynności kontrolnych, w przypadku, gdy organ przeprowadzając kontrolę powołuje się na wyłączenia ograniczeń kontroli działalności gospodarczej.</w:t>
      </w:r>
    </w:p>
    <w:p w14:paraId="429643AB" w14:textId="1CD580B4" w:rsidR="0042425B" w:rsidRPr="005C158A" w:rsidRDefault="0042425B" w:rsidP="00401710">
      <w:pPr>
        <w:spacing w:before="120" w:after="120" w:line="360" w:lineRule="auto"/>
        <w:jc w:val="both"/>
        <w:rPr>
          <w:rFonts w:ascii="Arial" w:hAnsi="Arial" w:cs="Arial"/>
          <w:sz w:val="20"/>
          <w:szCs w:val="20"/>
        </w:rPr>
      </w:pPr>
      <w:r w:rsidRPr="005C158A">
        <w:rPr>
          <w:rFonts w:ascii="Arial" w:hAnsi="Arial" w:cs="Arial"/>
          <w:sz w:val="20"/>
          <w:szCs w:val="20"/>
        </w:rPr>
        <w:t>Uproszczeni</w:t>
      </w:r>
      <w:r w:rsidR="004540C6" w:rsidRPr="005C158A">
        <w:rPr>
          <w:rFonts w:ascii="Arial" w:hAnsi="Arial" w:cs="Arial"/>
          <w:sz w:val="20"/>
          <w:szCs w:val="20"/>
        </w:rPr>
        <w:t>u ulegną</w:t>
      </w:r>
      <w:r w:rsidRPr="005C158A">
        <w:rPr>
          <w:rFonts w:ascii="Arial" w:hAnsi="Arial" w:cs="Arial"/>
          <w:sz w:val="20"/>
          <w:szCs w:val="20"/>
        </w:rPr>
        <w:t xml:space="preserve"> procedury przenoszenia i potwierdzania zezwoleń alkoholowych przez zarządców sukcesyjnych oraz w przypadku zmiany składu spółki cywilnej. </w:t>
      </w:r>
    </w:p>
    <w:p w14:paraId="19AEDA07" w14:textId="10C5CE0E" w:rsidR="0042425B" w:rsidRPr="005C158A" w:rsidRDefault="0042425B" w:rsidP="00401710">
      <w:pPr>
        <w:spacing w:before="120" w:after="120" w:line="360" w:lineRule="auto"/>
        <w:jc w:val="both"/>
        <w:rPr>
          <w:rFonts w:ascii="Arial" w:hAnsi="Arial" w:cs="Arial"/>
          <w:sz w:val="20"/>
          <w:szCs w:val="20"/>
        </w:rPr>
      </w:pPr>
      <w:r w:rsidRPr="005C158A">
        <w:rPr>
          <w:rFonts w:ascii="Arial" w:hAnsi="Arial" w:cs="Arial"/>
          <w:sz w:val="20"/>
          <w:szCs w:val="20"/>
        </w:rPr>
        <w:t>Zmniejsz</w:t>
      </w:r>
      <w:r w:rsidR="004540C6" w:rsidRPr="005C158A">
        <w:rPr>
          <w:rFonts w:ascii="Arial" w:hAnsi="Arial" w:cs="Arial"/>
          <w:sz w:val="20"/>
          <w:szCs w:val="20"/>
        </w:rPr>
        <w:t>y się</w:t>
      </w:r>
      <w:r w:rsidRPr="005C158A">
        <w:rPr>
          <w:rFonts w:ascii="Arial" w:hAnsi="Arial" w:cs="Arial"/>
          <w:sz w:val="20"/>
          <w:szCs w:val="20"/>
        </w:rPr>
        <w:t xml:space="preserve"> ryzyk</w:t>
      </w:r>
      <w:r w:rsidR="004540C6" w:rsidRPr="005C158A">
        <w:rPr>
          <w:rFonts w:ascii="Arial" w:hAnsi="Arial" w:cs="Arial"/>
          <w:sz w:val="20"/>
          <w:szCs w:val="20"/>
        </w:rPr>
        <w:t>o</w:t>
      </w:r>
      <w:r w:rsidRPr="005C158A">
        <w:rPr>
          <w:rFonts w:ascii="Arial" w:hAnsi="Arial" w:cs="Arial"/>
          <w:sz w:val="20"/>
          <w:szCs w:val="20"/>
        </w:rPr>
        <w:t xml:space="preserve"> prowadzenia działalności przez deweloperów w związku z zabezpieczeniem środków nabywców w trakcie procesu inwestycyjnego.</w:t>
      </w:r>
    </w:p>
    <w:p w14:paraId="63EF0F64" w14:textId="11673051" w:rsidR="0042425B" w:rsidRPr="005C158A" w:rsidRDefault="0042425B" w:rsidP="00401710">
      <w:pPr>
        <w:spacing w:before="120" w:after="120" w:line="360" w:lineRule="auto"/>
        <w:jc w:val="both"/>
        <w:rPr>
          <w:rFonts w:ascii="Arial" w:hAnsi="Arial" w:cs="Arial"/>
          <w:sz w:val="20"/>
          <w:szCs w:val="20"/>
        </w:rPr>
      </w:pPr>
      <w:r w:rsidRPr="005C158A">
        <w:rPr>
          <w:rFonts w:ascii="Arial" w:hAnsi="Arial" w:cs="Arial"/>
          <w:sz w:val="20"/>
          <w:szCs w:val="20"/>
        </w:rPr>
        <w:t>Zmniejszeni</w:t>
      </w:r>
      <w:r w:rsidR="004540C6" w:rsidRPr="005C158A">
        <w:rPr>
          <w:rFonts w:ascii="Arial" w:hAnsi="Arial" w:cs="Arial"/>
          <w:sz w:val="20"/>
          <w:szCs w:val="20"/>
        </w:rPr>
        <w:t xml:space="preserve">u ulegnie </w:t>
      </w:r>
      <w:r w:rsidRPr="005C158A">
        <w:rPr>
          <w:rFonts w:ascii="Arial" w:hAnsi="Arial" w:cs="Arial"/>
          <w:sz w:val="20"/>
          <w:szCs w:val="20"/>
        </w:rPr>
        <w:t>niepewnoś</w:t>
      </w:r>
      <w:r w:rsidR="004540C6" w:rsidRPr="005C158A">
        <w:rPr>
          <w:rFonts w:ascii="Arial" w:hAnsi="Arial" w:cs="Arial"/>
          <w:sz w:val="20"/>
          <w:szCs w:val="20"/>
        </w:rPr>
        <w:t>ć</w:t>
      </w:r>
      <w:r w:rsidRPr="005C158A">
        <w:rPr>
          <w:rFonts w:ascii="Arial" w:hAnsi="Arial" w:cs="Arial"/>
          <w:sz w:val="20"/>
          <w:szCs w:val="20"/>
        </w:rPr>
        <w:t xml:space="preserve"> prowadzenia działalności gospodarczej w zakresie pośrednictwa w</w:t>
      </w:r>
      <w:r w:rsidR="00295358" w:rsidRPr="005C158A">
        <w:rPr>
          <w:rFonts w:ascii="Arial" w:hAnsi="Arial" w:cs="Arial"/>
          <w:sz w:val="20"/>
          <w:szCs w:val="20"/>
        </w:rPr>
        <w:t> </w:t>
      </w:r>
      <w:r w:rsidRPr="005C158A">
        <w:rPr>
          <w:rFonts w:ascii="Arial" w:hAnsi="Arial" w:cs="Arial"/>
          <w:sz w:val="20"/>
          <w:szCs w:val="20"/>
        </w:rPr>
        <w:t>obrocie nieruchomościami i zarządzania nieruchomościami. Zapewni</w:t>
      </w:r>
      <w:r w:rsidR="004540C6" w:rsidRPr="005C158A">
        <w:rPr>
          <w:rFonts w:ascii="Arial" w:hAnsi="Arial" w:cs="Arial"/>
          <w:sz w:val="20"/>
          <w:szCs w:val="20"/>
        </w:rPr>
        <w:t>ona będzie</w:t>
      </w:r>
      <w:r w:rsidRPr="005C158A">
        <w:rPr>
          <w:rFonts w:ascii="Arial" w:hAnsi="Arial" w:cs="Arial"/>
          <w:sz w:val="20"/>
          <w:szCs w:val="20"/>
        </w:rPr>
        <w:t xml:space="preserve"> </w:t>
      </w:r>
      <w:r w:rsidR="004540C6" w:rsidRPr="005C158A">
        <w:rPr>
          <w:rFonts w:ascii="Arial" w:hAnsi="Arial" w:cs="Arial"/>
          <w:sz w:val="20"/>
          <w:szCs w:val="20"/>
        </w:rPr>
        <w:t xml:space="preserve">bardziej </w:t>
      </w:r>
      <w:r w:rsidRPr="005C158A">
        <w:rPr>
          <w:rFonts w:ascii="Arial" w:hAnsi="Arial" w:cs="Arial"/>
          <w:sz w:val="20"/>
          <w:szCs w:val="20"/>
        </w:rPr>
        <w:t>przejrzyst</w:t>
      </w:r>
      <w:r w:rsidR="004540C6" w:rsidRPr="005C158A">
        <w:rPr>
          <w:rFonts w:ascii="Arial" w:hAnsi="Arial" w:cs="Arial"/>
          <w:sz w:val="20"/>
          <w:szCs w:val="20"/>
        </w:rPr>
        <w:t>a</w:t>
      </w:r>
      <w:r w:rsidRPr="005C158A">
        <w:rPr>
          <w:rFonts w:ascii="Arial" w:hAnsi="Arial" w:cs="Arial"/>
          <w:sz w:val="20"/>
          <w:szCs w:val="20"/>
        </w:rPr>
        <w:t xml:space="preserve"> i </w:t>
      </w:r>
      <w:r w:rsidR="004540C6" w:rsidRPr="005C158A">
        <w:rPr>
          <w:rFonts w:ascii="Arial" w:hAnsi="Arial" w:cs="Arial"/>
          <w:sz w:val="20"/>
          <w:szCs w:val="20"/>
        </w:rPr>
        <w:t>stabilna</w:t>
      </w:r>
      <w:r w:rsidRPr="005C158A">
        <w:rPr>
          <w:rFonts w:ascii="Arial" w:hAnsi="Arial" w:cs="Arial"/>
          <w:sz w:val="20"/>
          <w:szCs w:val="20"/>
        </w:rPr>
        <w:t xml:space="preserve"> </w:t>
      </w:r>
      <w:r w:rsidR="004D3063" w:rsidRPr="005C158A">
        <w:rPr>
          <w:rFonts w:ascii="Arial" w:hAnsi="Arial" w:cs="Arial"/>
          <w:sz w:val="20"/>
          <w:szCs w:val="20"/>
        </w:rPr>
        <w:t xml:space="preserve">sytuacja </w:t>
      </w:r>
      <w:r w:rsidRPr="005C158A">
        <w:rPr>
          <w:rFonts w:ascii="Arial" w:hAnsi="Arial" w:cs="Arial"/>
          <w:sz w:val="20"/>
          <w:szCs w:val="20"/>
        </w:rPr>
        <w:t xml:space="preserve">podmiotom prowadzącym działalność w obszarze pośrednictwa i zarządzania nieruchomościami. </w:t>
      </w:r>
    </w:p>
    <w:p w14:paraId="652E48CA" w14:textId="352AF9BB" w:rsidR="0042425B" w:rsidRPr="005C158A" w:rsidRDefault="0042425B" w:rsidP="00401710">
      <w:pPr>
        <w:spacing w:before="120" w:after="120" w:line="360" w:lineRule="auto"/>
        <w:jc w:val="both"/>
        <w:rPr>
          <w:rFonts w:ascii="Arial" w:hAnsi="Arial" w:cs="Arial"/>
          <w:sz w:val="20"/>
          <w:szCs w:val="20"/>
        </w:rPr>
      </w:pPr>
      <w:r w:rsidRPr="005C158A">
        <w:rPr>
          <w:rFonts w:ascii="Arial" w:hAnsi="Arial" w:cs="Arial"/>
          <w:sz w:val="20"/>
          <w:szCs w:val="20"/>
        </w:rPr>
        <w:t>Wzmocnieni</w:t>
      </w:r>
      <w:r w:rsidR="004540C6" w:rsidRPr="005C158A">
        <w:rPr>
          <w:rFonts w:ascii="Arial" w:hAnsi="Arial" w:cs="Arial"/>
          <w:sz w:val="20"/>
          <w:szCs w:val="20"/>
        </w:rPr>
        <w:t>u ulegnie</w:t>
      </w:r>
      <w:r w:rsidRPr="005C158A">
        <w:rPr>
          <w:rFonts w:ascii="Arial" w:hAnsi="Arial" w:cs="Arial"/>
          <w:sz w:val="20"/>
          <w:szCs w:val="20"/>
        </w:rPr>
        <w:t xml:space="preserve"> pozycj</w:t>
      </w:r>
      <w:r w:rsidR="004540C6" w:rsidRPr="005C158A">
        <w:rPr>
          <w:rFonts w:ascii="Arial" w:hAnsi="Arial" w:cs="Arial"/>
          <w:sz w:val="20"/>
          <w:szCs w:val="20"/>
        </w:rPr>
        <w:t>a</w:t>
      </w:r>
      <w:r w:rsidRPr="005C158A">
        <w:rPr>
          <w:rFonts w:ascii="Arial" w:hAnsi="Arial" w:cs="Arial"/>
          <w:sz w:val="20"/>
          <w:szCs w:val="20"/>
        </w:rPr>
        <w:t xml:space="preserve"> rynkow</w:t>
      </w:r>
      <w:r w:rsidR="004540C6" w:rsidRPr="005C158A">
        <w:rPr>
          <w:rFonts w:ascii="Arial" w:hAnsi="Arial" w:cs="Arial"/>
          <w:sz w:val="20"/>
          <w:szCs w:val="20"/>
        </w:rPr>
        <w:t>a</w:t>
      </w:r>
      <w:r w:rsidRPr="005C158A">
        <w:rPr>
          <w:rFonts w:ascii="Arial" w:hAnsi="Arial" w:cs="Arial"/>
          <w:sz w:val="20"/>
          <w:szCs w:val="20"/>
        </w:rPr>
        <w:t xml:space="preserve"> legalnie działających przedsiębiorców turystycznych. </w:t>
      </w:r>
    </w:p>
    <w:p w14:paraId="3BAB68F1" w14:textId="0C8849C7" w:rsidR="0042425B" w:rsidRPr="005C158A" w:rsidRDefault="001C456C" w:rsidP="00401710">
      <w:pPr>
        <w:spacing w:before="120" w:after="120" w:line="360" w:lineRule="auto"/>
        <w:jc w:val="both"/>
        <w:rPr>
          <w:rFonts w:ascii="Arial" w:hAnsi="Arial" w:cs="Arial"/>
          <w:sz w:val="20"/>
          <w:szCs w:val="20"/>
        </w:rPr>
      </w:pPr>
      <w:r w:rsidRPr="005C158A">
        <w:rPr>
          <w:rFonts w:ascii="Arial" w:hAnsi="Arial" w:cs="Arial"/>
          <w:sz w:val="20"/>
          <w:szCs w:val="20"/>
        </w:rPr>
        <w:t>Nastąpi w</w:t>
      </w:r>
      <w:r w:rsidR="0042425B" w:rsidRPr="005C158A">
        <w:rPr>
          <w:rFonts w:ascii="Arial" w:hAnsi="Arial" w:cs="Arial"/>
          <w:sz w:val="20"/>
          <w:szCs w:val="20"/>
        </w:rPr>
        <w:t>prowadzenie dodatkowego środka ochrony przedsiębiorców przed nieuczciwymi praktykami, jakie mogą być stosowane przez pośredników oferujących usługi internetowe np. polegające na udostępnianiu platform do handlu internetowego.</w:t>
      </w:r>
    </w:p>
    <w:p w14:paraId="2C28C123" w14:textId="36DA2D36" w:rsidR="00D25283" w:rsidRPr="005C158A" w:rsidRDefault="0042425B"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Projektowane rozwiązania mogą wpłynąć korzystnie na bezpieczeństwo obrotu gospodarczego przez uzgodnienie przepisów o udzielaniu pomocy z Wytycznymi </w:t>
      </w:r>
      <w:r w:rsidR="004D3063" w:rsidRPr="005C158A">
        <w:rPr>
          <w:rFonts w:ascii="Arial" w:hAnsi="Arial" w:cs="Arial"/>
          <w:sz w:val="20"/>
          <w:szCs w:val="20"/>
        </w:rPr>
        <w:t xml:space="preserve">Komisji </w:t>
      </w:r>
      <w:r w:rsidRPr="005C158A">
        <w:rPr>
          <w:rFonts w:ascii="Arial" w:hAnsi="Arial" w:cs="Arial"/>
          <w:sz w:val="20"/>
          <w:szCs w:val="20"/>
        </w:rPr>
        <w:t xml:space="preserve">dotyczącymi pomocy państwa na ratowanie i restrukturyzację przedsiębiorstw niefinansowych znajdujących się w trudnej sytuacji, dzięki </w:t>
      </w:r>
      <w:r w:rsidRPr="005C158A">
        <w:rPr>
          <w:rFonts w:ascii="Arial" w:hAnsi="Arial" w:cs="Arial"/>
          <w:sz w:val="20"/>
          <w:szCs w:val="20"/>
        </w:rPr>
        <w:lastRenderedPageBreak/>
        <w:t>czemu minimalizuje się ryzyko uznania przez Komisję Europejską udzielonej pomocy za niezgodną z</w:t>
      </w:r>
      <w:r w:rsidR="00715FF6" w:rsidRPr="005C158A">
        <w:rPr>
          <w:rFonts w:ascii="Arial" w:hAnsi="Arial" w:cs="Arial"/>
          <w:sz w:val="20"/>
          <w:szCs w:val="20"/>
        </w:rPr>
        <w:t> </w:t>
      </w:r>
      <w:r w:rsidRPr="005C158A">
        <w:rPr>
          <w:rFonts w:ascii="Arial" w:hAnsi="Arial" w:cs="Arial"/>
          <w:sz w:val="20"/>
          <w:szCs w:val="20"/>
        </w:rPr>
        <w:t>prawem UE, co skutkowałoby obowiązkiem zwrotu otrzymanych środków wraz z odsetkami</w:t>
      </w:r>
      <w:r w:rsidR="004D3063" w:rsidRPr="005C158A">
        <w:rPr>
          <w:rFonts w:ascii="Arial" w:hAnsi="Arial" w:cs="Arial"/>
          <w:sz w:val="20"/>
          <w:szCs w:val="20"/>
        </w:rPr>
        <w:t>.</w:t>
      </w:r>
      <w:r w:rsidR="000261E4" w:rsidRPr="005C158A">
        <w:rPr>
          <w:rFonts w:ascii="Arial" w:hAnsi="Arial" w:cs="Arial"/>
          <w:sz w:val="20"/>
          <w:szCs w:val="20"/>
        </w:rPr>
        <w:t xml:space="preserve"> </w:t>
      </w:r>
    </w:p>
    <w:p w14:paraId="029BD0FF" w14:textId="6F2892C8" w:rsidR="0042425B" w:rsidRPr="005C158A" w:rsidRDefault="0042425B" w:rsidP="00401710">
      <w:pPr>
        <w:pStyle w:val="Nagwek1"/>
        <w:spacing w:before="120" w:after="120" w:line="360" w:lineRule="auto"/>
        <w:jc w:val="both"/>
        <w:rPr>
          <w:rFonts w:ascii="Arial" w:hAnsi="Arial" w:cs="Arial"/>
          <w:color w:val="auto"/>
          <w:sz w:val="20"/>
          <w:szCs w:val="20"/>
        </w:rPr>
      </w:pPr>
      <w:bookmarkStart w:id="125" w:name="_Toc120091415"/>
      <w:bookmarkStart w:id="126" w:name="_Toc138329794"/>
      <w:r w:rsidRPr="005C158A">
        <w:rPr>
          <w:rFonts w:ascii="Arial" w:hAnsi="Arial" w:cs="Arial"/>
          <w:color w:val="auto"/>
          <w:sz w:val="20"/>
          <w:szCs w:val="20"/>
        </w:rPr>
        <w:t>Skutki społeczno-gospodarcze</w:t>
      </w:r>
      <w:bookmarkEnd w:id="125"/>
      <w:bookmarkEnd w:id="126"/>
    </w:p>
    <w:p w14:paraId="698F48B9" w14:textId="3F5F675A" w:rsidR="0042425B" w:rsidRPr="005C158A" w:rsidRDefault="0042425B" w:rsidP="00401710">
      <w:pPr>
        <w:spacing w:before="120" w:after="120" w:line="360" w:lineRule="auto"/>
        <w:jc w:val="both"/>
        <w:rPr>
          <w:rFonts w:ascii="Arial" w:hAnsi="Arial" w:cs="Arial"/>
          <w:sz w:val="20"/>
          <w:szCs w:val="20"/>
        </w:rPr>
      </w:pPr>
      <w:r w:rsidRPr="005C158A">
        <w:rPr>
          <w:rFonts w:ascii="Arial" w:hAnsi="Arial" w:cs="Arial"/>
          <w:sz w:val="20"/>
          <w:szCs w:val="20"/>
        </w:rPr>
        <w:t xml:space="preserve">Rozwiązania zawarte w projektowanej ustawie będą </w:t>
      </w:r>
      <w:r w:rsidR="001C456C" w:rsidRPr="005C158A">
        <w:rPr>
          <w:rFonts w:ascii="Arial" w:hAnsi="Arial" w:cs="Arial"/>
          <w:sz w:val="20"/>
          <w:szCs w:val="20"/>
        </w:rPr>
        <w:t>m</w:t>
      </w:r>
      <w:r w:rsidRPr="005C158A">
        <w:rPr>
          <w:rFonts w:ascii="Arial" w:hAnsi="Arial" w:cs="Arial"/>
          <w:sz w:val="20"/>
          <w:szCs w:val="20"/>
        </w:rPr>
        <w:t>iały pozytywny wpływ na szybsze i sprawniejsze rozpoznawanie spraw. Usprawnienie niektórych postępowań administracyjnych poprzez odejście od zasady dwuinstancyjności. Zwiększy się zaufanie do organów administracji oraz pogłębienie zaufania do Państwa. Nastąpi poprawa warunków do podejmowania i wykonywania działalności gospodarczej dzięki poprawie procesu stanowienia prawa, ograniczeniu obowiązków administracyjnych oraz wzmocnieniu zasady zaufania państwa do obywatela</w:t>
      </w:r>
      <w:r w:rsidR="004D3063" w:rsidRPr="005C158A">
        <w:rPr>
          <w:rFonts w:ascii="Arial" w:hAnsi="Arial" w:cs="Arial"/>
          <w:sz w:val="20"/>
          <w:szCs w:val="20"/>
        </w:rPr>
        <w:t>, co</w:t>
      </w:r>
      <w:r w:rsidRPr="005C158A">
        <w:rPr>
          <w:rFonts w:ascii="Arial" w:hAnsi="Arial" w:cs="Arial"/>
          <w:sz w:val="20"/>
          <w:szCs w:val="20"/>
        </w:rPr>
        <w:t xml:space="preserve"> powinn</w:t>
      </w:r>
      <w:r w:rsidR="004D3063" w:rsidRPr="005C158A">
        <w:rPr>
          <w:rFonts w:ascii="Arial" w:hAnsi="Arial" w:cs="Arial"/>
          <w:sz w:val="20"/>
          <w:szCs w:val="20"/>
        </w:rPr>
        <w:t>o</w:t>
      </w:r>
      <w:r w:rsidRPr="005C158A">
        <w:rPr>
          <w:rFonts w:ascii="Arial" w:hAnsi="Arial" w:cs="Arial"/>
          <w:sz w:val="20"/>
          <w:szCs w:val="20"/>
        </w:rPr>
        <w:t xml:space="preserve"> sprzyjać rozwojowi przedsiębiorczości. Lepsze otoczenie prawne przyczyni się do wzrostu konkurencyjności gospodarki.</w:t>
      </w:r>
    </w:p>
    <w:p w14:paraId="4C564D09" w14:textId="77777777" w:rsidR="00F3131D" w:rsidRPr="005C158A" w:rsidRDefault="00F3131D" w:rsidP="00F3131D">
      <w:pPr>
        <w:pStyle w:val="Nagwek1"/>
        <w:spacing w:before="120" w:after="120" w:line="360" w:lineRule="auto"/>
        <w:jc w:val="both"/>
        <w:rPr>
          <w:rFonts w:ascii="Arial" w:hAnsi="Arial" w:cs="Arial"/>
          <w:color w:val="auto"/>
          <w:sz w:val="20"/>
          <w:szCs w:val="20"/>
        </w:rPr>
      </w:pPr>
      <w:bookmarkStart w:id="127" w:name="_Toc132054033"/>
      <w:bookmarkStart w:id="128" w:name="_Toc138329795"/>
      <w:r w:rsidRPr="005C158A">
        <w:rPr>
          <w:rFonts w:ascii="Arial" w:hAnsi="Arial" w:cs="Arial"/>
          <w:color w:val="auto"/>
          <w:sz w:val="20"/>
          <w:szCs w:val="20"/>
        </w:rPr>
        <w:t>Przepisy przejściowe i końcowe</w:t>
      </w:r>
      <w:bookmarkEnd w:id="127"/>
      <w:bookmarkEnd w:id="128"/>
    </w:p>
    <w:p w14:paraId="25D61E8C" w14:textId="77777777" w:rsidR="00F3131D"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W związku z tym, że zmiana przepisów Kpa oraz </w:t>
      </w:r>
      <w:proofErr w:type="spellStart"/>
      <w:r w:rsidRPr="005C158A">
        <w:rPr>
          <w:rFonts w:ascii="Arial" w:hAnsi="Arial" w:cs="Arial"/>
          <w:sz w:val="20"/>
          <w:szCs w:val="20"/>
        </w:rPr>
        <w:t>Op</w:t>
      </w:r>
      <w:proofErr w:type="spellEnd"/>
      <w:r w:rsidRPr="005C158A">
        <w:rPr>
          <w:rFonts w:ascii="Arial" w:hAnsi="Arial" w:cs="Arial"/>
          <w:sz w:val="20"/>
          <w:szCs w:val="20"/>
        </w:rPr>
        <w:t xml:space="preserve">  wejść w życie w trakcie trwających postępowań, proponuje się wprowadzenie przepisu przejściowego umożliwiającego stosowanie dotychczasowego brzmienia powyższych przepisów do postępowań wszczętych i niezakończonych. Pozwoli to płynnie dokończyć postępowania, w których wezwanie do osobistego stawiennictwa lub przez pełnomocnika nie zostało uzasadnione.</w:t>
      </w:r>
    </w:p>
    <w:p w14:paraId="721292D4" w14:textId="490E03C5" w:rsidR="004176A8" w:rsidRPr="004176A8" w:rsidRDefault="004176A8" w:rsidP="004176A8">
      <w:pPr>
        <w:spacing w:before="120" w:after="120" w:line="360" w:lineRule="auto"/>
        <w:jc w:val="both"/>
        <w:rPr>
          <w:rFonts w:ascii="Arial" w:hAnsi="Arial" w:cs="Arial"/>
          <w:sz w:val="20"/>
          <w:szCs w:val="20"/>
        </w:rPr>
      </w:pPr>
      <w:r w:rsidRPr="004176A8">
        <w:rPr>
          <w:rFonts w:ascii="Arial" w:hAnsi="Arial" w:cs="Arial"/>
          <w:sz w:val="20"/>
          <w:szCs w:val="20"/>
        </w:rPr>
        <w:t>W przepisie przejściowym</w:t>
      </w:r>
      <w:r>
        <w:rPr>
          <w:rFonts w:ascii="Arial" w:hAnsi="Arial" w:cs="Arial"/>
          <w:sz w:val="20"/>
          <w:szCs w:val="20"/>
        </w:rPr>
        <w:t>, w zakresie zmian w ustawie o rzemiośle,</w:t>
      </w:r>
      <w:r w:rsidRPr="004176A8">
        <w:rPr>
          <w:rFonts w:ascii="Arial" w:hAnsi="Arial" w:cs="Arial"/>
          <w:sz w:val="20"/>
          <w:szCs w:val="20"/>
        </w:rPr>
        <w:t xml:space="preserve"> proponuje się, aby młodociani pracownicy odbywający w dniu wejścia w życie niniejszej nowelizacji przygotowanie zawodowe u pracodawcy, który w rozumieniu dotychczasowych przepisów nie był rzemieślnikiem, a po dniu wejścia w życie nowej definicji stanie się nim, kontynuowali to przygotowanie oraz zdawali egzaminy zgodnie z dotychczasowymi zasadami dotyczącymi młodocianych zatrudnionych u pracodawców niebędących rzemieślnikami.</w:t>
      </w:r>
    </w:p>
    <w:p w14:paraId="2C943CC9" w14:textId="77777777" w:rsidR="000D0784" w:rsidRPr="005C158A" w:rsidRDefault="000D0784" w:rsidP="000D0784">
      <w:pPr>
        <w:spacing w:before="120" w:after="120" w:line="360" w:lineRule="auto"/>
        <w:jc w:val="both"/>
        <w:rPr>
          <w:rFonts w:ascii="Arial" w:hAnsi="Arial" w:cs="Arial"/>
          <w:sz w:val="20"/>
          <w:szCs w:val="20"/>
        </w:rPr>
      </w:pPr>
      <w:r w:rsidRPr="005C158A">
        <w:rPr>
          <w:rFonts w:ascii="Arial" w:hAnsi="Arial" w:cs="Arial"/>
          <w:sz w:val="20"/>
          <w:szCs w:val="20"/>
        </w:rPr>
        <w:t>Zmiany w Prawie przedsiębiorców i ustawie o Centralnej  Ewidencji i Informacji o Działalności Gospodarczej i Punkcie Informacji dla Przedsiębiorcy dotyczące podejmowania i wykonywania działalności gospodarczej przez osoby posiadające ograniczoną zdolność do czynności prawnych powodują konieczność rozstrzygnięcia, jakie przepisy stosować do wniosków o wpis do Centralnej Ewidencji i Informacji o Działalności Gospodarczej złożonych przed dniem wejścia w życie tych zmian. Proponuje się, aby do tych wniosków stosować przepisy dotychczasowe.</w:t>
      </w:r>
    </w:p>
    <w:p w14:paraId="225EB741" w14:textId="551AE6A6"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Proponuje się, aby do postępowań o udzielenie zamówienia, o których mowa w ustawie </w:t>
      </w:r>
      <w:proofErr w:type="spellStart"/>
      <w:r w:rsidRPr="005C158A">
        <w:rPr>
          <w:rFonts w:ascii="Arial" w:hAnsi="Arial" w:cs="Arial"/>
          <w:sz w:val="20"/>
          <w:szCs w:val="20"/>
        </w:rPr>
        <w:t>Pzp</w:t>
      </w:r>
      <w:proofErr w:type="spellEnd"/>
      <w:r w:rsidRPr="005C158A">
        <w:rPr>
          <w:rFonts w:ascii="Arial" w:hAnsi="Arial" w:cs="Arial"/>
          <w:sz w:val="20"/>
          <w:szCs w:val="20"/>
        </w:rPr>
        <w:t xml:space="preserve"> wszczętych i niezakończonych przed dniem wejścia w życie niniejszej ustawy stosować  przepisy dotychczasowe. Podobnie </w:t>
      </w:r>
      <w:bookmarkStart w:id="129" w:name="mip51084021"/>
      <w:bookmarkEnd w:id="129"/>
      <w:r w:rsidRPr="005C158A">
        <w:rPr>
          <w:rFonts w:ascii="Arial" w:hAnsi="Arial" w:cs="Arial"/>
          <w:sz w:val="20"/>
          <w:szCs w:val="20"/>
        </w:rPr>
        <w:t xml:space="preserve">do konkursów, o których mowa w ustawie </w:t>
      </w:r>
      <w:proofErr w:type="spellStart"/>
      <w:r w:rsidRPr="005C158A">
        <w:rPr>
          <w:rFonts w:ascii="Arial" w:hAnsi="Arial" w:cs="Arial"/>
          <w:sz w:val="20"/>
          <w:szCs w:val="20"/>
        </w:rPr>
        <w:t>Pzp</w:t>
      </w:r>
      <w:proofErr w:type="spellEnd"/>
      <w:r w:rsidRPr="005C158A">
        <w:rPr>
          <w:rFonts w:ascii="Arial" w:hAnsi="Arial" w:cs="Arial"/>
          <w:sz w:val="20"/>
          <w:szCs w:val="20"/>
        </w:rPr>
        <w:t>, rozpoczętych i niezakończonych przed dniem wejścia w życie projektu ustawy proponuje się stosowanie przepisów dotychczasowych.</w:t>
      </w:r>
      <w:r w:rsidR="00486EB5">
        <w:rPr>
          <w:rFonts w:ascii="Arial" w:hAnsi="Arial" w:cs="Arial"/>
          <w:sz w:val="20"/>
          <w:szCs w:val="20"/>
        </w:rPr>
        <w:t xml:space="preserve"> </w:t>
      </w:r>
    </w:p>
    <w:p w14:paraId="26A8FCA6"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Także do umów oraz umów ramowych zawartych z uwzględnieniem art. 11 ust. 1 pkt 8 ustawy </w:t>
      </w:r>
      <w:proofErr w:type="spellStart"/>
      <w:r w:rsidRPr="005C158A">
        <w:rPr>
          <w:rFonts w:ascii="Arial" w:hAnsi="Arial" w:cs="Arial"/>
          <w:sz w:val="20"/>
          <w:szCs w:val="20"/>
        </w:rPr>
        <w:t>Pzp</w:t>
      </w:r>
      <w:proofErr w:type="spellEnd"/>
      <w:r w:rsidRPr="005C158A">
        <w:rPr>
          <w:rFonts w:ascii="Arial" w:hAnsi="Arial" w:cs="Arial"/>
          <w:sz w:val="20"/>
          <w:szCs w:val="20"/>
        </w:rPr>
        <w:t xml:space="preserve"> przed dniem wejścia w życie niniejszej ustawy powinny być stosowane przepisy dotychczasowe.</w:t>
      </w:r>
    </w:p>
    <w:p w14:paraId="3BF14372" w14:textId="77777777" w:rsidR="00F3131D" w:rsidRPr="005C158A" w:rsidRDefault="00F3131D" w:rsidP="00F3131D">
      <w:pPr>
        <w:spacing w:before="120" w:after="120" w:line="360" w:lineRule="auto"/>
        <w:jc w:val="both"/>
        <w:rPr>
          <w:rFonts w:ascii="Arial" w:hAnsi="Arial" w:cs="Arial"/>
          <w:sz w:val="20"/>
          <w:szCs w:val="20"/>
        </w:rPr>
      </w:pPr>
      <w:bookmarkStart w:id="130" w:name="_Hlk124514080"/>
      <w:r w:rsidRPr="005C158A">
        <w:rPr>
          <w:rFonts w:ascii="Arial" w:hAnsi="Arial" w:cs="Arial"/>
          <w:sz w:val="20"/>
          <w:szCs w:val="20"/>
        </w:rPr>
        <w:t xml:space="preserve">W związku ze zmianą art. 87 ust. 1 ustawy </w:t>
      </w:r>
      <w:proofErr w:type="spellStart"/>
      <w:r w:rsidRPr="005C158A">
        <w:rPr>
          <w:rFonts w:ascii="Arial" w:hAnsi="Arial" w:cs="Arial"/>
          <w:sz w:val="20"/>
          <w:szCs w:val="20"/>
        </w:rPr>
        <w:t>Pzp</w:t>
      </w:r>
      <w:proofErr w:type="spellEnd"/>
      <w:r w:rsidRPr="005C158A">
        <w:rPr>
          <w:rFonts w:ascii="Arial" w:hAnsi="Arial" w:cs="Arial"/>
          <w:sz w:val="20"/>
          <w:szCs w:val="20"/>
        </w:rPr>
        <w:t xml:space="preserve"> oraz art. 18 ust. 3 ustawy o umowie koncesji na roboty budowlane lub usługi, w zakresie odesłania do rozporządzenia 2019/1780, projekt ustawy zawiera regulację intertemporalną, w myśl której zamawiający najpóźniej do dnia 24 października 2023 r. mogą </w:t>
      </w:r>
      <w:r w:rsidRPr="005C158A">
        <w:rPr>
          <w:rFonts w:ascii="Arial" w:hAnsi="Arial" w:cs="Arial"/>
          <w:sz w:val="20"/>
          <w:szCs w:val="20"/>
        </w:rPr>
        <w:lastRenderedPageBreak/>
        <w:t>przygotowywać ogłoszenia zgodnie z wzorami standardowych formularzy, określonymi w rozporządzeniu 2015/1986.</w:t>
      </w:r>
      <w:bookmarkEnd w:id="130"/>
      <w:r w:rsidRPr="005C158A">
        <w:rPr>
          <w:rFonts w:ascii="Arial" w:hAnsi="Arial" w:cs="Arial"/>
          <w:sz w:val="20"/>
          <w:szCs w:val="20"/>
        </w:rPr>
        <w:t xml:space="preserve"> Przepis ten usunie ewentualne wątpliwości interpretacyjne, że zamawiający najpóźniej do dnia 24 października 2023 r. mogą przygotowywać ogłoszenia zgodnie z wzorami standardowych formularzy, określonymi w rozporządzeniu 2015/1986.</w:t>
      </w:r>
    </w:p>
    <w:p w14:paraId="4FE254A0" w14:textId="7B873B85" w:rsidR="001F6E40" w:rsidRPr="005C158A" w:rsidRDefault="001F6E40"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W związku ze zmianami w zakresie ustawy </w:t>
      </w:r>
      <w:r w:rsidR="00344F69" w:rsidRPr="005C158A">
        <w:rPr>
          <w:rFonts w:ascii="Arial" w:hAnsi="Arial" w:cs="Arial"/>
          <w:sz w:val="20"/>
          <w:szCs w:val="20"/>
        </w:rPr>
        <w:t xml:space="preserve">o obrocie </w:t>
      </w:r>
      <w:r w:rsidRPr="005C158A">
        <w:rPr>
          <w:rFonts w:ascii="Arial" w:hAnsi="Arial" w:cs="Arial"/>
          <w:sz w:val="20"/>
          <w:szCs w:val="20"/>
        </w:rPr>
        <w:t>przewiduje</w:t>
      </w:r>
      <w:r w:rsidR="00344F69" w:rsidRPr="005C158A">
        <w:rPr>
          <w:rFonts w:ascii="Arial" w:hAnsi="Arial" w:cs="Arial"/>
          <w:sz w:val="20"/>
          <w:szCs w:val="20"/>
        </w:rPr>
        <w:t xml:space="preserve"> się wprowadzenie</w:t>
      </w:r>
      <w:r w:rsidRPr="005C158A">
        <w:rPr>
          <w:rFonts w:ascii="Arial" w:hAnsi="Arial" w:cs="Arial"/>
          <w:sz w:val="20"/>
          <w:szCs w:val="20"/>
        </w:rPr>
        <w:t xml:space="preserve"> przepis</w:t>
      </w:r>
      <w:r w:rsidR="00344F69" w:rsidRPr="005C158A">
        <w:rPr>
          <w:rFonts w:ascii="Arial" w:hAnsi="Arial" w:cs="Arial"/>
          <w:sz w:val="20"/>
          <w:szCs w:val="20"/>
        </w:rPr>
        <w:t>ów</w:t>
      </w:r>
      <w:r w:rsidRPr="005C158A">
        <w:rPr>
          <w:rFonts w:ascii="Arial" w:hAnsi="Arial" w:cs="Arial"/>
          <w:sz w:val="20"/>
          <w:szCs w:val="20"/>
        </w:rPr>
        <w:t xml:space="preserve"> przejściow</w:t>
      </w:r>
      <w:r w:rsidR="00344F69" w:rsidRPr="005C158A">
        <w:rPr>
          <w:rFonts w:ascii="Arial" w:hAnsi="Arial" w:cs="Arial"/>
          <w:sz w:val="20"/>
          <w:szCs w:val="20"/>
        </w:rPr>
        <w:t>ych</w:t>
      </w:r>
      <w:r w:rsidRPr="005C158A">
        <w:rPr>
          <w:rFonts w:ascii="Arial" w:hAnsi="Arial" w:cs="Arial"/>
          <w:sz w:val="20"/>
          <w:szCs w:val="20"/>
        </w:rPr>
        <w:t xml:space="preserve"> w zakresie dotychczasowego rejestru, wniosków złożonych i nierozpatrzonych przed dniem wejścia w życie ustawy. Obecny rejestr udzielonych zezwoleń indywidualnych i globalnych oraz podmiotów korzystających z zezwoleń generalnych prowadzony na podstawie art. 21 </w:t>
      </w:r>
      <w:r w:rsidR="00344F69" w:rsidRPr="005C158A">
        <w:rPr>
          <w:rFonts w:ascii="Arial" w:hAnsi="Arial" w:cs="Arial"/>
          <w:sz w:val="20"/>
          <w:szCs w:val="20"/>
        </w:rPr>
        <w:t xml:space="preserve">ustawy o obrocie </w:t>
      </w:r>
      <w:r w:rsidRPr="005C158A">
        <w:rPr>
          <w:rFonts w:ascii="Arial" w:hAnsi="Arial" w:cs="Arial"/>
          <w:sz w:val="20"/>
          <w:szCs w:val="20"/>
        </w:rPr>
        <w:t>staje się rejestrem wydanych zezwoleń, certyfikatów importowych, poświadczeń oświadczeń końcowego użytkownika oraz podmiotów korzystających z zezwoleń generalnych, o którym mowa w</w:t>
      </w:r>
      <w:r w:rsidR="00344F69" w:rsidRPr="005C158A">
        <w:rPr>
          <w:rFonts w:ascii="Arial" w:hAnsi="Arial" w:cs="Arial"/>
          <w:sz w:val="20"/>
          <w:szCs w:val="20"/>
        </w:rPr>
        <w:t xml:space="preserve"> projektowanym</w:t>
      </w:r>
      <w:r w:rsidRPr="005C158A">
        <w:rPr>
          <w:rFonts w:ascii="Arial" w:hAnsi="Arial" w:cs="Arial"/>
          <w:sz w:val="20"/>
          <w:szCs w:val="20"/>
        </w:rPr>
        <w:t xml:space="preserve"> art. 27d ust. 1 ustawy</w:t>
      </w:r>
      <w:r w:rsidR="00344F69" w:rsidRPr="005C158A">
        <w:rPr>
          <w:rFonts w:ascii="Arial" w:hAnsi="Arial" w:cs="Arial"/>
          <w:sz w:val="20"/>
          <w:szCs w:val="20"/>
        </w:rPr>
        <w:t xml:space="preserve"> o obrocie</w:t>
      </w:r>
      <w:r w:rsidRPr="005C158A">
        <w:rPr>
          <w:rFonts w:ascii="Arial" w:hAnsi="Arial" w:cs="Arial"/>
          <w:sz w:val="20"/>
          <w:szCs w:val="20"/>
        </w:rPr>
        <w:t>. Jednocześnie zezwolenia indywidualne, zezwolenia globalne oraz podmioty korzystające z zezwoleń generalnych wpisane do rejestru prowadzonego obecnie w systemie teleinformatycznym uznaje się za wpisane do rejestru,</w:t>
      </w:r>
      <w:r w:rsidR="00344F69" w:rsidRPr="005C158A">
        <w:rPr>
          <w:rFonts w:ascii="Arial" w:hAnsi="Arial" w:cs="Arial"/>
          <w:sz w:val="20"/>
          <w:szCs w:val="20"/>
        </w:rPr>
        <w:t xml:space="preserve"> </w:t>
      </w:r>
      <w:r w:rsidRPr="005C158A">
        <w:rPr>
          <w:rFonts w:ascii="Arial" w:hAnsi="Arial" w:cs="Arial"/>
          <w:sz w:val="20"/>
          <w:szCs w:val="20"/>
        </w:rPr>
        <w:t>o którym mowa w art. 27</w:t>
      </w:r>
      <w:r w:rsidR="00344F69" w:rsidRPr="005C158A">
        <w:rPr>
          <w:rFonts w:ascii="Arial" w:hAnsi="Arial" w:cs="Arial"/>
          <w:sz w:val="20"/>
          <w:szCs w:val="20"/>
        </w:rPr>
        <w:t xml:space="preserve"> tej ustawy</w:t>
      </w:r>
      <w:r w:rsidRPr="005C158A">
        <w:rPr>
          <w:rFonts w:ascii="Arial" w:hAnsi="Arial" w:cs="Arial"/>
          <w:sz w:val="20"/>
          <w:szCs w:val="20"/>
        </w:rPr>
        <w:t xml:space="preserve">. Konieczne jest zapewnienie ciągłości systemu teleinformatycznego oraz danych zawartych w obecnym systemie. </w:t>
      </w:r>
    </w:p>
    <w:p w14:paraId="38D54EAC" w14:textId="3BFB9007" w:rsidR="001F6E40" w:rsidRPr="005C158A" w:rsidRDefault="001F6E40"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W przypadku wniosków o wydanie zezwolenia indywidualnego lub globalnego na obrót towarami o znaczeniu strategicznym oraz wniosków o wydanie certyfikatu importowego lub poświadczenie oświadczenia końcowego użytkownika, które zostaną złożone i nierozpatrzone przed dniem wejścia w życie przepisów, przepis przejściowy stanowi, iż będą one rozpatrywane na podstawie zmienionych przepisów. </w:t>
      </w:r>
    </w:p>
    <w:p w14:paraId="6A380070" w14:textId="13AF6B43" w:rsidR="001F6E40" w:rsidRPr="005C158A" w:rsidRDefault="001F6E40" w:rsidP="0011422D">
      <w:pPr>
        <w:spacing w:before="120" w:after="120" w:line="360" w:lineRule="auto"/>
        <w:jc w:val="both"/>
        <w:rPr>
          <w:rFonts w:ascii="Arial" w:hAnsi="Arial" w:cs="Arial"/>
          <w:sz w:val="20"/>
          <w:szCs w:val="20"/>
        </w:rPr>
      </w:pPr>
      <w:r w:rsidRPr="005C158A">
        <w:rPr>
          <w:rFonts w:ascii="Arial" w:hAnsi="Arial" w:cs="Arial"/>
          <w:sz w:val="20"/>
          <w:szCs w:val="20"/>
        </w:rPr>
        <w:t>Przepis przejściowy dotyczy także przekazywania organowi kontroli obrotu informacji o realizacji obrotu na podstawie obecnie obowiązującego art. 26 obowiązującej ustawy</w:t>
      </w:r>
      <w:r w:rsidR="00344F69" w:rsidRPr="005C158A">
        <w:rPr>
          <w:rFonts w:ascii="Arial" w:hAnsi="Arial" w:cs="Arial"/>
          <w:sz w:val="20"/>
          <w:szCs w:val="20"/>
        </w:rPr>
        <w:t xml:space="preserve"> o obrocie</w:t>
      </w:r>
      <w:r w:rsidRPr="005C158A">
        <w:rPr>
          <w:rFonts w:ascii="Arial" w:hAnsi="Arial" w:cs="Arial"/>
          <w:sz w:val="20"/>
          <w:szCs w:val="20"/>
        </w:rPr>
        <w:t xml:space="preserve">. Do informacji dotyczącej obrotu za 2023 r. będzie stosowany przepis w brzmieniu dotychczasowym. Zatem informacja ta nie będzie musiała zawierać informacji o braku realizacji obrotu. </w:t>
      </w:r>
    </w:p>
    <w:p w14:paraId="0175AE5F" w14:textId="427837BA" w:rsidR="001F6E40" w:rsidRPr="005C158A" w:rsidRDefault="001F6E40" w:rsidP="0011422D">
      <w:pPr>
        <w:spacing w:before="120" w:after="120" w:line="360" w:lineRule="auto"/>
        <w:jc w:val="both"/>
        <w:rPr>
          <w:rFonts w:ascii="Arial" w:hAnsi="Arial" w:cs="Arial"/>
          <w:sz w:val="20"/>
          <w:szCs w:val="20"/>
        </w:rPr>
      </w:pPr>
      <w:r w:rsidRPr="005C158A">
        <w:rPr>
          <w:rFonts w:ascii="Arial" w:hAnsi="Arial" w:cs="Arial"/>
          <w:sz w:val="20"/>
          <w:szCs w:val="20"/>
        </w:rPr>
        <w:t xml:space="preserve">Przepis przejściowy dotyczy także przepisów wykonawczych wydanych na podstawie art. 9 ust. 8, art. 25 ust. 4, i  art. ust. 2 ustawy </w:t>
      </w:r>
      <w:r w:rsidR="00344F69" w:rsidRPr="005C158A">
        <w:rPr>
          <w:rFonts w:ascii="Arial" w:hAnsi="Arial" w:cs="Arial"/>
          <w:sz w:val="20"/>
          <w:szCs w:val="20"/>
        </w:rPr>
        <w:t>o obrocie.</w:t>
      </w:r>
      <w:r w:rsidRPr="005C158A">
        <w:rPr>
          <w:rFonts w:ascii="Arial" w:hAnsi="Arial" w:cs="Arial"/>
          <w:sz w:val="20"/>
          <w:szCs w:val="20"/>
        </w:rPr>
        <w:t xml:space="preserve"> Zachowują one moc do czasu wejścia w życie przepisów wykonawczych wydanych na podstawie art. 9 ust. 8, art. 25 ust. 4, art. 26 ust. 2 ustawy zmienianej jednak nie dłużej niż przez 12 miesięcy od dnia wejścia w życie. </w:t>
      </w:r>
    </w:p>
    <w:p w14:paraId="31B54FC5" w14:textId="77777777" w:rsidR="00F3131D" w:rsidRPr="005C158A" w:rsidRDefault="00F3131D" w:rsidP="00F3131D">
      <w:pPr>
        <w:pStyle w:val="ARTartustawynprozporzdzenia"/>
        <w:ind w:firstLine="0"/>
        <w:rPr>
          <w:rFonts w:ascii="Arial" w:hAnsi="Arial"/>
          <w:sz w:val="20"/>
        </w:rPr>
      </w:pPr>
      <w:r w:rsidRPr="005C158A">
        <w:rPr>
          <w:rFonts w:ascii="Arial" w:hAnsi="Arial"/>
          <w:sz w:val="20"/>
        </w:rPr>
        <w:t xml:space="preserve">Z kolei w stosunku do opracowania projektów aktów normatywnych określających zasady podejmowania, wykonywania i zakończenia działalności gospodarczej, które w dniu wejścia w życie ustawy nie zostały skierowane do uzgodnień, konsultacji publicznych lub opiniowania powinny być stasowane rozwiązania zaproponowane w niniejszej ustawie. Chodzi o uregulowanie sytuacji intertemporalnej projektów, które są w toku prowadzenia rządowego procesu legislacyjnego </w:t>
      </w:r>
    </w:p>
    <w:p w14:paraId="13C20CDD"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Projekt ustawy nie zawiera przepisów technicznych, w rozumieniu rozporządzenia Rady Ministrów z dnia 23 grudnia 2002 r. w sprawie sposobu funkcjonowania krajowego systemu notyfikacji norm i aktów prawnych (Dz. U. poz. 2039, z </w:t>
      </w:r>
      <w:proofErr w:type="spellStart"/>
      <w:r w:rsidRPr="005C158A">
        <w:rPr>
          <w:rFonts w:ascii="Arial" w:hAnsi="Arial" w:cs="Arial"/>
          <w:sz w:val="20"/>
          <w:szCs w:val="20"/>
        </w:rPr>
        <w:t>późn</w:t>
      </w:r>
      <w:proofErr w:type="spellEnd"/>
      <w:r w:rsidRPr="005C158A">
        <w:rPr>
          <w:rFonts w:ascii="Arial" w:hAnsi="Arial" w:cs="Arial"/>
          <w:sz w:val="20"/>
          <w:szCs w:val="20"/>
        </w:rPr>
        <w:t>. zm.), w związku z tym nie podlega notyfikacji.</w:t>
      </w:r>
    </w:p>
    <w:p w14:paraId="16743B07"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lastRenderedPageBreak/>
        <w:t>Projekt ustawy nie zawiera wymogów nakładanych na usługodawców podlegających notyfikacji, o której mowa w art. 15 ust. 7 i art. 39 ust. 5 dyrektywy 2006/123/WE Parlamentu Europejskiego i Rady z dnia 12 grudnia 2006 r. dotyczącej usług na rynku wewnętrznym (Dz. Urz. UE L 376 z 27.12.2006, str. 36).</w:t>
      </w:r>
    </w:p>
    <w:p w14:paraId="04092CA0"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Projekt ustawy nie wymaga uzyskania opinii, dokonania powiadomienia, konsultacji albo uzgodnienia z właściwym organami i instytucjami Unii Europejskiej, w tym z Europejskim Bankiem Centralnym, o czym mowa w § 39 uchwały nr 190 Rady Ministrów z dnia 29 października 2013 r. – Regulamin pracy Rady Ministrów (M.P. z 2016 r. poz. 1006, z </w:t>
      </w:r>
      <w:proofErr w:type="spellStart"/>
      <w:r w:rsidRPr="005C158A">
        <w:rPr>
          <w:rFonts w:ascii="Arial" w:hAnsi="Arial" w:cs="Arial"/>
          <w:sz w:val="20"/>
          <w:szCs w:val="20"/>
        </w:rPr>
        <w:t>późn</w:t>
      </w:r>
      <w:proofErr w:type="spellEnd"/>
      <w:r w:rsidRPr="005C158A">
        <w:rPr>
          <w:rFonts w:ascii="Arial" w:hAnsi="Arial" w:cs="Arial"/>
          <w:sz w:val="20"/>
          <w:szCs w:val="20"/>
        </w:rPr>
        <w:t>. zm.).</w:t>
      </w:r>
    </w:p>
    <w:p w14:paraId="6F01A8A0"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Projektowana regulacja jest zgodna z prawem Unii Europejskiej.</w:t>
      </w:r>
    </w:p>
    <w:p w14:paraId="2DAEEC4D"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Stosownie do art. 5 ustawy z dnia 7 lipca 2005 r. o działalności lobbingowej w procesie stanowienia prawa (Dz. U. z 2017 r. poz. 248) w związku z § 52 ust. 1 Regulaminu pracy Rady Ministrów projekt ustawy zostanie udostępniony w Biuletynie Informacji Publicznej na stronie podmiotowej Rządowego Centrum Legislacji, w serwisie Rządowy Proces Legislacyjny.</w:t>
      </w:r>
    </w:p>
    <w:p w14:paraId="2AAC0849"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Projekt został wpisany do wykazu prac legislacyjnych i programowych Rady Ministrów pod numerem UD 497.</w:t>
      </w:r>
    </w:p>
    <w:p w14:paraId="24C6A8D8" w14:textId="77777777" w:rsidR="00F3131D" w:rsidRPr="005C158A" w:rsidRDefault="00F3131D" w:rsidP="00F3131D">
      <w:pPr>
        <w:spacing w:before="120" w:after="120" w:line="360" w:lineRule="auto"/>
        <w:jc w:val="both"/>
        <w:rPr>
          <w:rFonts w:ascii="Arial" w:hAnsi="Arial" w:cs="Arial"/>
          <w:sz w:val="20"/>
          <w:szCs w:val="20"/>
        </w:rPr>
      </w:pPr>
      <w:bookmarkStart w:id="131" w:name="_Hlk124516635"/>
      <w:r w:rsidRPr="005C158A">
        <w:rPr>
          <w:rFonts w:ascii="Arial" w:hAnsi="Arial" w:cs="Arial"/>
          <w:sz w:val="20"/>
          <w:szCs w:val="20"/>
        </w:rPr>
        <w:t>Planuje się, że ustawa wejdzie w życie z dniem 1 stycznia 2024 r., z wyjątkiem zmian dotyczących:</w:t>
      </w:r>
    </w:p>
    <w:p w14:paraId="74483584" w14:textId="39F7CA03" w:rsidR="00F3131D" w:rsidRPr="005C158A" w:rsidRDefault="008B1648" w:rsidP="00DC6DF4">
      <w:pPr>
        <w:pStyle w:val="Akapitzlist"/>
        <w:numPr>
          <w:ilvl w:val="0"/>
          <w:numId w:val="15"/>
        </w:numPr>
        <w:spacing w:before="120" w:after="120" w:line="360" w:lineRule="auto"/>
        <w:ind w:left="0" w:firstLine="0"/>
        <w:jc w:val="both"/>
        <w:rPr>
          <w:rFonts w:ascii="Arial" w:hAnsi="Arial" w:cs="Arial"/>
          <w:sz w:val="20"/>
          <w:szCs w:val="20"/>
        </w:rPr>
      </w:pPr>
      <w:bookmarkStart w:id="132" w:name="_Hlk124514136"/>
      <w:r>
        <w:rPr>
          <w:rFonts w:ascii="Arial" w:hAnsi="Arial" w:cs="Arial"/>
          <w:sz w:val="20"/>
          <w:szCs w:val="20"/>
        </w:rPr>
        <w:t>u</w:t>
      </w:r>
      <w:r w:rsidR="00F3131D" w:rsidRPr="005C158A">
        <w:rPr>
          <w:rFonts w:ascii="Arial" w:hAnsi="Arial" w:cs="Arial"/>
          <w:sz w:val="20"/>
          <w:szCs w:val="20"/>
        </w:rPr>
        <w:t>stawy</w:t>
      </w:r>
      <w:r w:rsidR="00F55A1B" w:rsidRPr="005C158A">
        <w:rPr>
          <w:rFonts w:ascii="Arial" w:hAnsi="Arial" w:cs="Arial"/>
          <w:sz w:val="20"/>
          <w:szCs w:val="20"/>
        </w:rPr>
        <w:t xml:space="preserve"> z dnia 21 października 2016 r. </w:t>
      </w:r>
      <w:r w:rsidR="00F3131D" w:rsidRPr="005C158A">
        <w:rPr>
          <w:rFonts w:ascii="Arial" w:hAnsi="Arial" w:cs="Arial"/>
          <w:sz w:val="20"/>
          <w:szCs w:val="20"/>
        </w:rPr>
        <w:t xml:space="preserve"> o umowie koncesji na roboty budowlane lub usługi oraz częściowo </w:t>
      </w:r>
      <w:r w:rsidR="000B7DCD" w:rsidRPr="005C158A">
        <w:rPr>
          <w:rFonts w:ascii="Arial" w:hAnsi="Arial" w:cs="Arial"/>
          <w:sz w:val="20"/>
          <w:szCs w:val="20"/>
        </w:rPr>
        <w:t>ustawy z dnia 11 września 2019 r. – Prawo zamówień publicznych</w:t>
      </w:r>
      <w:r w:rsidR="00F3131D" w:rsidRPr="005C158A">
        <w:rPr>
          <w:rFonts w:ascii="Arial" w:hAnsi="Arial" w:cs="Arial"/>
          <w:sz w:val="20"/>
          <w:szCs w:val="20"/>
        </w:rPr>
        <w:t>;</w:t>
      </w:r>
    </w:p>
    <w:p w14:paraId="1139FAFF" w14:textId="73060DFE" w:rsidR="00F3131D" w:rsidRPr="005C158A" w:rsidRDefault="00F3131D" w:rsidP="00DC6DF4">
      <w:pPr>
        <w:pStyle w:val="Akapitzlist"/>
        <w:numPr>
          <w:ilvl w:val="0"/>
          <w:numId w:val="15"/>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przepisów dotyczących możliwości wykonywania działalności gospodarczej przez osoby </w:t>
      </w:r>
      <w:r w:rsidR="000B7DCD" w:rsidRPr="005C158A">
        <w:rPr>
          <w:rFonts w:ascii="Arial" w:hAnsi="Arial" w:cs="Arial"/>
          <w:sz w:val="20"/>
          <w:szCs w:val="20"/>
        </w:rPr>
        <w:t>mające ograniczona zdolność do czynności prawnych</w:t>
      </w:r>
      <w:r w:rsidR="00B155D4" w:rsidRPr="005C158A">
        <w:rPr>
          <w:rFonts w:ascii="Arial" w:hAnsi="Arial" w:cs="Arial"/>
          <w:sz w:val="20"/>
          <w:szCs w:val="20"/>
        </w:rPr>
        <w:t>;</w:t>
      </w:r>
    </w:p>
    <w:p w14:paraId="290CCC64" w14:textId="07695E20" w:rsidR="00DC6DF4" w:rsidRPr="005C158A" w:rsidRDefault="00B155D4" w:rsidP="00DC6DF4">
      <w:pPr>
        <w:pStyle w:val="Akapitzlist"/>
        <w:numPr>
          <w:ilvl w:val="0"/>
          <w:numId w:val="15"/>
        </w:numPr>
        <w:spacing w:before="120" w:after="120" w:line="360" w:lineRule="auto"/>
        <w:ind w:left="0" w:firstLine="0"/>
        <w:jc w:val="both"/>
        <w:rPr>
          <w:rFonts w:ascii="Arial" w:hAnsi="Arial" w:cs="Arial"/>
          <w:sz w:val="20"/>
          <w:szCs w:val="20"/>
        </w:rPr>
      </w:pPr>
      <w:r w:rsidRPr="005C158A">
        <w:rPr>
          <w:rFonts w:ascii="Arial" w:hAnsi="Arial" w:cs="Arial"/>
          <w:sz w:val="20"/>
          <w:szCs w:val="20"/>
        </w:rPr>
        <w:t xml:space="preserve">ustawy </w:t>
      </w:r>
      <w:r w:rsidR="000B7DCD" w:rsidRPr="005C158A">
        <w:rPr>
          <w:rFonts w:ascii="Arial" w:hAnsi="Arial" w:cs="Arial"/>
          <w:sz w:val="20"/>
          <w:szCs w:val="20"/>
        </w:rPr>
        <w:t xml:space="preserve">z dnia 16 lutego 2007 r. </w:t>
      </w:r>
      <w:r w:rsidRPr="005C158A">
        <w:rPr>
          <w:rFonts w:ascii="Arial" w:hAnsi="Arial" w:cs="Arial"/>
          <w:sz w:val="20"/>
          <w:szCs w:val="20"/>
        </w:rPr>
        <w:t xml:space="preserve">o ochronie konkurencji i konsumentów oraz znowelizowany art. 469 </w:t>
      </w:r>
      <w:proofErr w:type="spellStart"/>
      <w:r w:rsidRPr="005C158A">
        <w:rPr>
          <w:rFonts w:ascii="Arial" w:hAnsi="Arial" w:cs="Arial"/>
          <w:sz w:val="20"/>
          <w:szCs w:val="20"/>
        </w:rPr>
        <w:t>Pzp</w:t>
      </w:r>
      <w:proofErr w:type="spellEnd"/>
      <w:r w:rsidR="00DC6DF4" w:rsidRPr="005C158A">
        <w:rPr>
          <w:rFonts w:ascii="Arial" w:hAnsi="Arial" w:cs="Arial"/>
          <w:sz w:val="20"/>
          <w:szCs w:val="20"/>
        </w:rPr>
        <w:t>;</w:t>
      </w:r>
    </w:p>
    <w:p w14:paraId="7371EB10" w14:textId="77777777" w:rsidR="00DC6DF4" w:rsidRPr="005C158A" w:rsidRDefault="00DC6DF4" w:rsidP="00DC6DF4">
      <w:pPr>
        <w:pStyle w:val="Akapitzlist"/>
        <w:numPr>
          <w:ilvl w:val="0"/>
          <w:numId w:val="15"/>
        </w:numPr>
        <w:spacing w:before="120" w:after="120" w:line="360" w:lineRule="auto"/>
        <w:ind w:left="0" w:firstLine="0"/>
        <w:jc w:val="both"/>
        <w:rPr>
          <w:rFonts w:ascii="Arial" w:hAnsi="Arial" w:cs="Arial"/>
          <w:sz w:val="20"/>
          <w:szCs w:val="20"/>
        </w:rPr>
      </w:pPr>
      <w:r w:rsidRPr="005C158A">
        <w:rPr>
          <w:rFonts w:ascii="Arial" w:hAnsi="Arial" w:cs="Arial"/>
          <w:sz w:val="20"/>
          <w:szCs w:val="20"/>
        </w:rPr>
        <w:t>ustawy z dnia 20 maja 2021 r. o ochronie praw nabywcy lokalu mieszkalnego lub domu jednorodzinnego oraz Deweloperskim Funduszu Gwarancyjnym;</w:t>
      </w:r>
    </w:p>
    <w:p w14:paraId="7453C2C4" w14:textId="77777777" w:rsidR="00DC6DF4" w:rsidRPr="005C158A" w:rsidRDefault="00DC6DF4" w:rsidP="00DC6DF4">
      <w:pPr>
        <w:pStyle w:val="Akapitzlist"/>
        <w:numPr>
          <w:ilvl w:val="0"/>
          <w:numId w:val="15"/>
        </w:numPr>
        <w:spacing w:before="120" w:after="120" w:line="360" w:lineRule="auto"/>
        <w:ind w:left="0" w:firstLine="0"/>
        <w:jc w:val="both"/>
        <w:rPr>
          <w:rFonts w:ascii="Arial" w:hAnsi="Arial" w:cs="Arial"/>
          <w:sz w:val="20"/>
          <w:szCs w:val="20"/>
        </w:rPr>
      </w:pPr>
      <w:r w:rsidRPr="005C158A">
        <w:rPr>
          <w:rFonts w:ascii="Arial" w:hAnsi="Arial" w:cs="Arial"/>
          <w:sz w:val="20"/>
          <w:szCs w:val="20"/>
        </w:rPr>
        <w:t>ustawy z dnia 6 lipca 1982 r. o księgach wieczystych i hipotece;</w:t>
      </w:r>
    </w:p>
    <w:p w14:paraId="4C63C014" w14:textId="77777777" w:rsidR="00DC6DF4" w:rsidRPr="005C158A" w:rsidRDefault="00DC6DF4" w:rsidP="00DC6DF4">
      <w:pPr>
        <w:pStyle w:val="Akapitzlist"/>
        <w:numPr>
          <w:ilvl w:val="0"/>
          <w:numId w:val="15"/>
        </w:numPr>
        <w:spacing w:before="120" w:after="120" w:line="360" w:lineRule="auto"/>
        <w:ind w:left="0" w:firstLine="0"/>
        <w:jc w:val="both"/>
        <w:rPr>
          <w:rFonts w:ascii="Arial" w:hAnsi="Arial" w:cs="Arial"/>
          <w:sz w:val="20"/>
          <w:szCs w:val="20"/>
        </w:rPr>
      </w:pPr>
      <w:r w:rsidRPr="005C158A">
        <w:rPr>
          <w:rFonts w:ascii="Arial" w:hAnsi="Arial" w:cs="Arial"/>
          <w:sz w:val="20"/>
          <w:szCs w:val="20"/>
        </w:rPr>
        <w:t>ustawy z dnia 22 maja 2003 r. o ubezpieczeniach obowiązkowych, Ubezpieczeniowym Funduszu Gwarancyjnym i Polskim Biurze Ubezpieczycieli Komunikacyjnych;</w:t>
      </w:r>
    </w:p>
    <w:p w14:paraId="29CCA83E" w14:textId="77777777" w:rsidR="00DC6DF4" w:rsidRPr="005C158A" w:rsidRDefault="00DC6DF4" w:rsidP="00DC6DF4">
      <w:pPr>
        <w:pStyle w:val="Akapitzlist"/>
        <w:numPr>
          <w:ilvl w:val="0"/>
          <w:numId w:val="15"/>
        </w:numPr>
        <w:spacing w:before="120" w:after="120" w:line="360" w:lineRule="auto"/>
        <w:ind w:left="0" w:firstLine="0"/>
        <w:jc w:val="both"/>
        <w:rPr>
          <w:rFonts w:ascii="Arial" w:hAnsi="Arial" w:cs="Arial"/>
          <w:sz w:val="20"/>
          <w:szCs w:val="20"/>
        </w:rPr>
      </w:pPr>
      <w:r w:rsidRPr="005C158A">
        <w:rPr>
          <w:rFonts w:ascii="Arial" w:hAnsi="Arial" w:cs="Arial"/>
          <w:sz w:val="20"/>
          <w:szCs w:val="20"/>
        </w:rPr>
        <w:t>ustawy z dnia 1 marca 2018 r. o przeciwdziałaniu praniu pieniędzy oraz finansowaniu terroryzmu.</w:t>
      </w:r>
    </w:p>
    <w:bookmarkEnd w:id="132"/>
    <w:p w14:paraId="785ECDCB"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Proponuje się, aby art. 18 ust. 3 ustawy o koncesji na roboty budowlane lub usługi oraz art. 87 ust. 1 </w:t>
      </w:r>
      <w:proofErr w:type="spellStart"/>
      <w:r w:rsidRPr="005C158A">
        <w:rPr>
          <w:rFonts w:ascii="Arial" w:hAnsi="Arial" w:cs="Arial"/>
          <w:sz w:val="20"/>
          <w:szCs w:val="20"/>
        </w:rPr>
        <w:t>Pzp</w:t>
      </w:r>
      <w:proofErr w:type="spellEnd"/>
      <w:r w:rsidRPr="005C158A">
        <w:rPr>
          <w:rFonts w:ascii="Arial" w:hAnsi="Arial" w:cs="Arial"/>
          <w:sz w:val="20"/>
          <w:szCs w:val="20"/>
        </w:rPr>
        <w:t xml:space="preserve"> weszły w życie z dniem następującym pod dniu ogłoszenia w celu jak najszybszego procedowania przepisów rozporządzenia dotyczącego e-formularzy, wydawanego na podstawie projektowanej delegacji. Pomimo że przepisy rozporządzenia wykonawczego 2019/1780 wchodziłyby w życie z dniem 25 października 2023 r., istnieje potrzeba umożliwienia zapoznania się z przepisami nowego rozporządzenia i technicznego rozpoczęcia wdrażania ich przez zainteresowane podmioty krajowe, głównie przez polskich e-</w:t>
      </w:r>
      <w:proofErr w:type="spellStart"/>
      <w:r w:rsidRPr="005C158A">
        <w:rPr>
          <w:rFonts w:ascii="Arial" w:hAnsi="Arial" w:cs="Arial"/>
          <w:sz w:val="20"/>
          <w:szCs w:val="20"/>
        </w:rPr>
        <w:t>Senderów</w:t>
      </w:r>
      <w:proofErr w:type="spellEnd"/>
      <w:r w:rsidRPr="005C158A">
        <w:rPr>
          <w:rFonts w:ascii="Arial" w:hAnsi="Arial" w:cs="Arial"/>
          <w:sz w:val="20"/>
          <w:szCs w:val="20"/>
        </w:rPr>
        <w:t xml:space="preserve"> w tym przez UZP, tak szybko jak będzie to możliwe przede wszystkim poprzez przeprowadzenie dostosowujących prac informatycznych w tym zakresie.</w:t>
      </w:r>
    </w:p>
    <w:p w14:paraId="6809D7AF" w14:textId="77777777"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lastRenderedPageBreak/>
        <w:t xml:space="preserve">Ponadto proponuje się, aby art. 18 ust. 3a ustawy o koncesji na roboty budowlane lub usługi oraz art. 87 ust. 4 ustawy </w:t>
      </w:r>
      <w:proofErr w:type="spellStart"/>
      <w:r w:rsidRPr="005C158A">
        <w:rPr>
          <w:rFonts w:ascii="Arial" w:hAnsi="Arial" w:cs="Arial"/>
          <w:sz w:val="20"/>
          <w:szCs w:val="20"/>
        </w:rPr>
        <w:t>Pzp</w:t>
      </w:r>
      <w:proofErr w:type="spellEnd"/>
      <w:r w:rsidRPr="005C158A">
        <w:rPr>
          <w:rFonts w:ascii="Arial" w:hAnsi="Arial" w:cs="Arial"/>
          <w:sz w:val="20"/>
          <w:szCs w:val="20"/>
        </w:rPr>
        <w:t>, weszły w życie z dniem 25 października 2023 r., ponieważ rozporządzenie wykonawcze 2019/1780, do których odnoszą się przepisy, wchodzą w życie z tym właśnie dniem.</w:t>
      </w:r>
      <w:bookmarkEnd w:id="131"/>
    </w:p>
    <w:p w14:paraId="5CA446FD" w14:textId="3E855BA5" w:rsidR="00F3131D" w:rsidRPr="005C158A" w:rsidRDefault="00F3131D" w:rsidP="00F3131D">
      <w:pPr>
        <w:spacing w:before="120" w:after="120" w:line="360" w:lineRule="auto"/>
        <w:jc w:val="both"/>
        <w:rPr>
          <w:rFonts w:ascii="Arial" w:hAnsi="Arial" w:cs="Arial"/>
          <w:sz w:val="20"/>
          <w:szCs w:val="20"/>
        </w:rPr>
      </w:pPr>
      <w:r w:rsidRPr="005C158A">
        <w:rPr>
          <w:rFonts w:ascii="Arial" w:hAnsi="Arial" w:cs="Arial"/>
          <w:sz w:val="20"/>
          <w:szCs w:val="20"/>
        </w:rPr>
        <w:t xml:space="preserve">Natomiast inny termin wejścia w życie przepisów dotyczących możliwości wykonywania działalności gospodarczej przez osoby </w:t>
      </w:r>
      <w:r w:rsidR="000B7DCD" w:rsidRPr="005C158A">
        <w:rPr>
          <w:rFonts w:ascii="Arial" w:hAnsi="Arial" w:cs="Arial"/>
          <w:sz w:val="20"/>
          <w:szCs w:val="20"/>
        </w:rPr>
        <w:t>mające ograniczoną zdolność do czynności prawnych</w:t>
      </w:r>
      <w:r w:rsidRPr="005C158A">
        <w:rPr>
          <w:rFonts w:ascii="Arial" w:hAnsi="Arial" w:cs="Arial"/>
          <w:sz w:val="20"/>
          <w:szCs w:val="20"/>
        </w:rPr>
        <w:t xml:space="preserve"> (1 października 2024</w:t>
      </w:r>
      <w:r w:rsidR="008B1648">
        <w:rPr>
          <w:rFonts w:ascii="Arial" w:hAnsi="Arial" w:cs="Arial"/>
          <w:sz w:val="20"/>
          <w:szCs w:val="20"/>
        </w:rPr>
        <w:t> </w:t>
      </w:r>
      <w:r w:rsidRPr="005C158A">
        <w:rPr>
          <w:rFonts w:ascii="Arial" w:hAnsi="Arial" w:cs="Arial"/>
          <w:sz w:val="20"/>
          <w:szCs w:val="20"/>
        </w:rPr>
        <w:t>r.) związany jest z szerokim zakresem zmian, który skutkuje koniecznością wprowadzenia modyfikacji w formularzu CEIDG-1, a także dostosowaniem systemu teleinformatycznego CEIDG.</w:t>
      </w:r>
    </w:p>
    <w:p w14:paraId="6102686E" w14:textId="2B3FCA1D" w:rsidR="00DC6DF4" w:rsidRPr="008B1648" w:rsidRDefault="008E5EA8" w:rsidP="006755A3">
      <w:pPr>
        <w:spacing w:before="120" w:after="120" w:line="360" w:lineRule="auto"/>
        <w:jc w:val="both"/>
        <w:rPr>
          <w:rFonts w:ascii="Arial" w:hAnsi="Arial" w:cs="Arial"/>
          <w:sz w:val="20"/>
          <w:szCs w:val="20"/>
        </w:rPr>
      </w:pPr>
      <w:r w:rsidRPr="008B1648">
        <w:rPr>
          <w:rFonts w:ascii="Arial" w:hAnsi="Arial" w:cs="Arial"/>
          <w:sz w:val="20"/>
          <w:szCs w:val="20"/>
        </w:rPr>
        <w:t xml:space="preserve">Proponuje się, aby przepisy dot. wykonywania zadań państwa członkowskiego określonych w rozporządzeniu 2022/2560 weszły w życie </w:t>
      </w:r>
      <w:r w:rsidR="006755A3" w:rsidRPr="008B1648">
        <w:rPr>
          <w:rFonts w:ascii="Arial" w:hAnsi="Arial" w:cs="Arial"/>
          <w:sz w:val="20"/>
          <w:szCs w:val="20"/>
        </w:rPr>
        <w:t>jak najszybciej</w:t>
      </w:r>
      <w:r w:rsidR="008B1648" w:rsidRPr="008B1648">
        <w:rPr>
          <w:rFonts w:ascii="Arial" w:hAnsi="Arial" w:cs="Arial"/>
          <w:sz w:val="20"/>
          <w:szCs w:val="20"/>
        </w:rPr>
        <w:t>, tj</w:t>
      </w:r>
      <w:r w:rsidR="008B1648">
        <w:rPr>
          <w:rFonts w:ascii="Arial" w:hAnsi="Arial" w:cs="Arial"/>
          <w:sz w:val="20"/>
          <w:szCs w:val="20"/>
        </w:rPr>
        <w:t>.</w:t>
      </w:r>
      <w:r w:rsidR="008B1648" w:rsidRPr="008B1648">
        <w:rPr>
          <w:rFonts w:ascii="Arial" w:hAnsi="Arial" w:cs="Arial"/>
          <w:sz w:val="20"/>
          <w:szCs w:val="20"/>
        </w:rPr>
        <w:t xml:space="preserve"> </w:t>
      </w:r>
      <w:r w:rsidR="008B1648" w:rsidRPr="00696A71">
        <w:rPr>
          <w:rFonts w:ascii="Arial" w:hAnsi="Arial" w:cs="Arial"/>
          <w:sz w:val="20"/>
          <w:szCs w:val="20"/>
        </w:rPr>
        <w:t>z dniem następującym po dniu ogłoszenia</w:t>
      </w:r>
      <w:r w:rsidR="008B1648">
        <w:rPr>
          <w:rFonts w:ascii="Arial" w:hAnsi="Arial" w:cs="Arial"/>
          <w:sz w:val="20"/>
          <w:szCs w:val="20"/>
        </w:rPr>
        <w:t>.</w:t>
      </w:r>
      <w:r w:rsidR="006755A3" w:rsidRPr="008B1648">
        <w:rPr>
          <w:rFonts w:ascii="Arial" w:hAnsi="Arial" w:cs="Arial"/>
          <w:sz w:val="20"/>
          <w:szCs w:val="20"/>
        </w:rPr>
        <w:t xml:space="preserve"> Rozporządzenie będzie stosowane od </w:t>
      </w:r>
      <w:r w:rsidRPr="008B1648">
        <w:rPr>
          <w:rFonts w:ascii="Arial" w:hAnsi="Arial" w:cs="Arial"/>
          <w:sz w:val="20"/>
          <w:szCs w:val="20"/>
        </w:rPr>
        <w:t>12 lipca 2023 r.,</w:t>
      </w:r>
      <w:r w:rsidR="006755A3" w:rsidRPr="008B1648">
        <w:rPr>
          <w:rFonts w:ascii="Arial" w:hAnsi="Arial" w:cs="Arial"/>
          <w:sz w:val="20"/>
          <w:szCs w:val="20"/>
        </w:rPr>
        <w:t xml:space="preserve"> jednak nie nakłada na przedsiębiorców nowych obowiązków,</w:t>
      </w:r>
      <w:r w:rsidR="006755A3" w:rsidRPr="00696A71">
        <w:rPr>
          <w:rFonts w:ascii="Arial" w:hAnsi="Arial" w:cs="Arial"/>
          <w:sz w:val="20"/>
          <w:szCs w:val="20"/>
        </w:rPr>
        <w:t xml:space="preserve"> a dotyczy jedynie zadań realizowanych przez organy administracji publicznej. </w:t>
      </w:r>
      <w:r w:rsidR="006755A3" w:rsidRPr="008B1648">
        <w:rPr>
          <w:rFonts w:ascii="Arial" w:hAnsi="Arial" w:cs="Arial"/>
          <w:sz w:val="20"/>
          <w:szCs w:val="20"/>
        </w:rPr>
        <w:t xml:space="preserve"> </w:t>
      </w:r>
      <w:r w:rsidRPr="008B1648">
        <w:rPr>
          <w:rFonts w:ascii="Arial" w:hAnsi="Arial" w:cs="Arial"/>
          <w:sz w:val="20"/>
          <w:szCs w:val="20"/>
        </w:rPr>
        <w:t xml:space="preserve"> </w:t>
      </w:r>
    </w:p>
    <w:p w14:paraId="18C7C52B" w14:textId="1EF371F3" w:rsidR="00DC6DF4" w:rsidRPr="00807C5B" w:rsidRDefault="00DC6DF4" w:rsidP="00DC6DF4">
      <w:pPr>
        <w:spacing w:after="120" w:line="360" w:lineRule="auto"/>
        <w:jc w:val="both"/>
        <w:rPr>
          <w:rFonts w:ascii="Arial" w:eastAsia="Times New Roman" w:hAnsi="Arial" w:cs="Arial"/>
          <w:sz w:val="20"/>
          <w:szCs w:val="20"/>
          <w:lang w:eastAsia="pl-PL"/>
        </w:rPr>
      </w:pPr>
      <w:r w:rsidRPr="008B1648">
        <w:rPr>
          <w:rFonts w:ascii="Arial" w:eastAsia="Times New Roman" w:hAnsi="Arial" w:cs="Arial"/>
          <w:sz w:val="20"/>
          <w:szCs w:val="20"/>
          <w:lang w:eastAsia="pl-PL"/>
        </w:rPr>
        <w:t>Proponuje się, by nowelizacja ustawy deweloperskiej w części dotyczącej Portalu Cen Mieszkań oraz towarzyszące jej zmiany w</w:t>
      </w:r>
      <w:r w:rsidRPr="005C158A">
        <w:rPr>
          <w:rFonts w:ascii="Arial" w:eastAsia="Times New Roman" w:hAnsi="Arial" w:cs="Arial"/>
          <w:sz w:val="20"/>
          <w:szCs w:val="20"/>
          <w:lang w:eastAsia="pl-PL"/>
        </w:rPr>
        <w:t xml:space="preserve"> innych ustawach weszły w życie po upływie 9 miesięcy od dnia ogłoszeni, co pozwoli adresatom norm odpowiednio przygotować się na zmiany. Wyjątkiem jest przepis dotyczący finansowania tworzenia Portalu Cen Mies</w:t>
      </w:r>
      <w:r w:rsidRPr="008B1648">
        <w:rPr>
          <w:rFonts w:ascii="Arial" w:eastAsia="Times New Roman" w:hAnsi="Arial" w:cs="Arial"/>
          <w:sz w:val="20"/>
          <w:szCs w:val="20"/>
          <w:lang w:eastAsia="pl-PL"/>
        </w:rPr>
        <w:t>zkań (</w:t>
      </w:r>
      <w:r w:rsidRPr="00696A71">
        <w:rPr>
          <w:rFonts w:ascii="Arial" w:eastAsia="Times New Roman" w:hAnsi="Arial" w:cs="Arial"/>
          <w:sz w:val="20"/>
          <w:szCs w:val="20"/>
          <w:lang w:eastAsia="pl-PL"/>
        </w:rPr>
        <w:t xml:space="preserve">art. </w:t>
      </w:r>
      <w:r w:rsidR="00C17A91" w:rsidRPr="008B1648">
        <w:rPr>
          <w:rFonts w:ascii="Arial" w:hAnsi="Arial" w:cs="Arial"/>
          <w:sz w:val="20"/>
          <w:szCs w:val="20"/>
        </w:rPr>
        <w:t>4</w:t>
      </w:r>
      <w:r w:rsidR="000B7DCD" w:rsidRPr="008B1648">
        <w:rPr>
          <w:rFonts w:ascii="Arial" w:hAnsi="Arial" w:cs="Arial"/>
          <w:sz w:val="20"/>
          <w:szCs w:val="20"/>
        </w:rPr>
        <w:t>7</w:t>
      </w:r>
      <w:r w:rsidR="00C17A91" w:rsidRPr="005C158A">
        <w:rPr>
          <w:rFonts w:ascii="Arial" w:hAnsi="Arial" w:cs="Arial"/>
          <w:sz w:val="20"/>
          <w:szCs w:val="20"/>
        </w:rPr>
        <w:t xml:space="preserve"> </w:t>
      </w:r>
      <w:r w:rsidR="008D039F" w:rsidRPr="005C158A">
        <w:rPr>
          <w:rFonts w:ascii="Arial" w:hAnsi="Arial" w:cs="Arial"/>
          <w:sz w:val="20"/>
          <w:szCs w:val="20"/>
        </w:rPr>
        <w:t xml:space="preserve">ust. </w:t>
      </w:r>
      <w:r w:rsidR="000B7DCD" w:rsidRPr="005C158A">
        <w:rPr>
          <w:rFonts w:ascii="Arial" w:hAnsi="Arial" w:cs="Arial"/>
          <w:sz w:val="20"/>
          <w:szCs w:val="20"/>
        </w:rPr>
        <w:t>10</w:t>
      </w:r>
      <w:r w:rsidR="008D039F" w:rsidRPr="005C158A">
        <w:rPr>
          <w:rFonts w:ascii="Arial" w:hAnsi="Arial" w:cs="Arial"/>
          <w:sz w:val="20"/>
          <w:szCs w:val="20"/>
        </w:rPr>
        <w:t xml:space="preserve"> ustawy o ochronie praw nabywcy lokalu mieszkalnego lub domu jednorodzinnego oraz Deweloperskim Funduszu Gwarancyjnym</w:t>
      </w:r>
      <w:r w:rsidRPr="005C158A">
        <w:rPr>
          <w:rFonts w:ascii="Arial" w:eastAsia="Times New Roman" w:hAnsi="Arial" w:cs="Arial"/>
          <w:sz w:val="20"/>
          <w:szCs w:val="20"/>
          <w:lang w:eastAsia="pl-PL"/>
        </w:rPr>
        <w:t xml:space="preserve">). Proponuje się, by wszedł on w życie z dniem ogłoszenia, co pozwoli UFG niezwłocznie przystąpić do prac związanych z postawieniem infrastruktury niezbędnej do uruchomienia Portalu. Drugim wyjątkiem są przepisy dotyczące pozyskiwania do Portalu danych z rynku wtórnego </w:t>
      </w:r>
      <w:r w:rsidRPr="008B1648">
        <w:rPr>
          <w:rFonts w:ascii="Arial" w:eastAsia="Times New Roman" w:hAnsi="Arial" w:cs="Arial"/>
          <w:sz w:val="20"/>
          <w:szCs w:val="20"/>
          <w:lang w:eastAsia="pl-PL"/>
        </w:rPr>
        <w:t>(</w:t>
      </w:r>
      <w:r w:rsidR="008B1648" w:rsidRPr="00696A71">
        <w:rPr>
          <w:rFonts w:ascii="Arial" w:hAnsi="Arial" w:cs="Arial"/>
          <w:sz w:val="20"/>
          <w:szCs w:val="20"/>
        </w:rPr>
        <w:t>art. 56a ust. 2 pkt 3 i ust. 3, art. 56b ust. 1 pkt 3 oraz art. 56e ust. 3</w:t>
      </w:r>
      <w:r w:rsidR="008D039F" w:rsidRPr="008B1648">
        <w:rPr>
          <w:rFonts w:ascii="Arial" w:eastAsia="Times New Roman" w:hAnsi="Arial" w:cs="Arial"/>
          <w:sz w:val="20"/>
          <w:szCs w:val="20"/>
          <w:lang w:eastAsia="pl-PL"/>
        </w:rPr>
        <w:t xml:space="preserve"> </w:t>
      </w:r>
      <w:r w:rsidR="008D039F" w:rsidRPr="008B1648">
        <w:rPr>
          <w:rFonts w:ascii="Arial" w:hAnsi="Arial" w:cs="Arial"/>
          <w:sz w:val="20"/>
          <w:szCs w:val="20"/>
        </w:rPr>
        <w:t>ustawy o ochronie praw nabywcy lokalu mieszkalnego lub domu jednorodzinnego oraz Deweloperskim Funduszu Gwarancyjnym</w:t>
      </w:r>
      <w:r w:rsidRPr="008B1648">
        <w:rPr>
          <w:rFonts w:ascii="Arial" w:eastAsia="Times New Roman" w:hAnsi="Arial" w:cs="Arial"/>
          <w:sz w:val="20"/>
          <w:szCs w:val="20"/>
          <w:lang w:eastAsia="pl-PL"/>
        </w:rPr>
        <w:t>).</w:t>
      </w:r>
      <w:r w:rsidRPr="005C158A">
        <w:rPr>
          <w:rFonts w:ascii="Arial" w:eastAsia="Times New Roman" w:hAnsi="Arial" w:cs="Arial"/>
          <w:sz w:val="20"/>
          <w:szCs w:val="20"/>
          <w:lang w:eastAsia="pl-PL"/>
        </w:rPr>
        <w:t xml:space="preserve"> Proponuje się, by przepisy te weszły w życie z dniem 1 stycznia 2025 r. Opóźnienie terminu wejścia w życie tych przepisów umożliwi zintegrowanie systemów wykorzystywanych przez KAS z infrastrukturą Portalu. Pozwoli też na dostosowanie się innych interesariuszy Portalu, w tym notariuszy, którzy będą przekazywać do KAS dane w nowym formacie.</w:t>
      </w:r>
      <w:r w:rsidRPr="00807C5B">
        <w:rPr>
          <w:rFonts w:ascii="Arial" w:eastAsia="Times New Roman" w:hAnsi="Arial" w:cs="Arial"/>
          <w:sz w:val="20"/>
          <w:szCs w:val="20"/>
          <w:lang w:eastAsia="pl-PL"/>
        </w:rPr>
        <w:t xml:space="preserve">  </w:t>
      </w:r>
    </w:p>
    <w:p w14:paraId="5DEB3AF7" w14:textId="04DD0783" w:rsidR="008E5EA8" w:rsidRPr="00807C5B" w:rsidRDefault="008E5EA8" w:rsidP="008E5EA8">
      <w:pPr>
        <w:spacing w:before="120" w:after="120" w:line="360" w:lineRule="auto"/>
        <w:jc w:val="both"/>
        <w:rPr>
          <w:rFonts w:ascii="Arial" w:hAnsi="Arial" w:cs="Arial"/>
          <w:sz w:val="20"/>
          <w:szCs w:val="20"/>
        </w:rPr>
      </w:pPr>
    </w:p>
    <w:p w14:paraId="4370EAC4" w14:textId="77777777" w:rsidR="008E5EA8" w:rsidRPr="00807C5B" w:rsidRDefault="008E5EA8" w:rsidP="00F3131D">
      <w:pPr>
        <w:spacing w:before="120" w:after="120" w:line="360" w:lineRule="auto"/>
        <w:jc w:val="both"/>
        <w:rPr>
          <w:rFonts w:ascii="Arial" w:hAnsi="Arial" w:cs="Arial"/>
          <w:sz w:val="20"/>
          <w:szCs w:val="20"/>
        </w:rPr>
      </w:pPr>
    </w:p>
    <w:p w14:paraId="276B716F" w14:textId="77777777" w:rsidR="008E5EA8" w:rsidRPr="00807C5B" w:rsidRDefault="008E5EA8" w:rsidP="00F3131D">
      <w:pPr>
        <w:spacing w:before="120" w:after="120" w:line="360" w:lineRule="auto"/>
        <w:jc w:val="both"/>
        <w:rPr>
          <w:rFonts w:ascii="Arial" w:hAnsi="Arial" w:cs="Arial"/>
          <w:sz w:val="20"/>
          <w:szCs w:val="20"/>
        </w:rPr>
      </w:pPr>
    </w:p>
    <w:p w14:paraId="7EA1BA04" w14:textId="24E3A5A4" w:rsidR="009D7B57" w:rsidRPr="00807C5B" w:rsidRDefault="009D7B57" w:rsidP="00401710">
      <w:pPr>
        <w:spacing w:before="120" w:after="120" w:line="360" w:lineRule="auto"/>
        <w:jc w:val="both"/>
        <w:rPr>
          <w:rFonts w:ascii="Arial" w:hAnsi="Arial" w:cs="Arial"/>
          <w:sz w:val="20"/>
          <w:szCs w:val="20"/>
        </w:rPr>
      </w:pPr>
    </w:p>
    <w:sectPr w:rsidR="009D7B57" w:rsidRPr="00807C5B" w:rsidSect="00893C49">
      <w:headerReference w:type="default" r:id="rId16"/>
      <w:footerReference w:type="defaul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F04B9" w14:textId="77777777" w:rsidR="001E19EB" w:rsidRDefault="001E19EB" w:rsidP="00E76F7F">
      <w:pPr>
        <w:spacing w:after="0" w:line="240" w:lineRule="auto"/>
      </w:pPr>
      <w:r>
        <w:separator/>
      </w:r>
    </w:p>
  </w:endnote>
  <w:endnote w:type="continuationSeparator" w:id="0">
    <w:p w14:paraId="29939962" w14:textId="77777777" w:rsidR="001E19EB" w:rsidRDefault="001E19EB" w:rsidP="00E76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76291440"/>
      <w:docPartObj>
        <w:docPartGallery w:val="Page Numbers (Bottom of Page)"/>
        <w:docPartUnique/>
      </w:docPartObj>
    </w:sdtPr>
    <w:sdtContent>
      <w:p w14:paraId="532B55DB" w14:textId="4B6F74A2" w:rsidR="005C158A" w:rsidRPr="005C158A" w:rsidRDefault="005C158A">
        <w:pPr>
          <w:pStyle w:val="Stopka"/>
          <w:jc w:val="center"/>
          <w:rPr>
            <w:rFonts w:ascii="Arial" w:hAnsi="Arial" w:cs="Arial"/>
            <w:sz w:val="16"/>
            <w:szCs w:val="16"/>
          </w:rPr>
        </w:pPr>
        <w:r w:rsidRPr="005C158A">
          <w:rPr>
            <w:rFonts w:ascii="Arial" w:hAnsi="Arial" w:cs="Arial"/>
            <w:sz w:val="16"/>
            <w:szCs w:val="16"/>
          </w:rPr>
          <w:fldChar w:fldCharType="begin"/>
        </w:r>
        <w:r w:rsidRPr="005C158A">
          <w:rPr>
            <w:rFonts w:ascii="Arial" w:hAnsi="Arial" w:cs="Arial"/>
            <w:sz w:val="16"/>
            <w:szCs w:val="16"/>
          </w:rPr>
          <w:instrText>PAGE   \* MERGEFORMAT</w:instrText>
        </w:r>
        <w:r w:rsidRPr="005C158A">
          <w:rPr>
            <w:rFonts w:ascii="Arial" w:hAnsi="Arial" w:cs="Arial"/>
            <w:sz w:val="16"/>
            <w:szCs w:val="16"/>
          </w:rPr>
          <w:fldChar w:fldCharType="separate"/>
        </w:r>
        <w:r w:rsidRPr="005C158A">
          <w:rPr>
            <w:rFonts w:ascii="Arial" w:hAnsi="Arial" w:cs="Arial"/>
            <w:sz w:val="16"/>
            <w:szCs w:val="16"/>
          </w:rPr>
          <w:t>2</w:t>
        </w:r>
        <w:r w:rsidRPr="005C158A">
          <w:rPr>
            <w:rFonts w:ascii="Arial" w:hAnsi="Arial" w:cs="Arial"/>
            <w:sz w:val="16"/>
            <w:szCs w:val="16"/>
          </w:rPr>
          <w:fldChar w:fldCharType="end"/>
        </w:r>
      </w:p>
    </w:sdtContent>
  </w:sdt>
  <w:p w14:paraId="48D54CF7" w14:textId="77777777" w:rsidR="005C158A" w:rsidRPr="005C158A" w:rsidRDefault="005C158A">
    <w:pPr>
      <w:pStyle w:val="Stopk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67091" w14:textId="77777777" w:rsidR="001E19EB" w:rsidRDefault="001E19EB" w:rsidP="00E76F7F">
      <w:pPr>
        <w:spacing w:after="0" w:line="240" w:lineRule="auto"/>
      </w:pPr>
      <w:r>
        <w:separator/>
      </w:r>
    </w:p>
  </w:footnote>
  <w:footnote w:type="continuationSeparator" w:id="0">
    <w:p w14:paraId="030C3F08" w14:textId="77777777" w:rsidR="001E19EB" w:rsidRDefault="001E19EB" w:rsidP="00E76F7F">
      <w:pPr>
        <w:spacing w:after="0" w:line="240" w:lineRule="auto"/>
      </w:pPr>
      <w:r>
        <w:continuationSeparator/>
      </w:r>
    </w:p>
  </w:footnote>
  <w:footnote w:id="1">
    <w:p w14:paraId="4A6C04B5" w14:textId="3C2FF0D6" w:rsidR="004E56AD" w:rsidRDefault="004E56AD" w:rsidP="00295358">
      <w:pPr>
        <w:pStyle w:val="Bezodstpw"/>
        <w:jc w:val="both"/>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S. Wróblewski </w:t>
      </w:r>
      <w:r w:rsidRPr="00D34834">
        <w:rPr>
          <w:rFonts w:ascii="Arial" w:hAnsi="Arial" w:cs="Arial"/>
          <w:i/>
          <w:iCs/>
          <w:sz w:val="16"/>
          <w:szCs w:val="16"/>
        </w:rPr>
        <w:t>Komentarz do kodeksu handlowego</w:t>
      </w:r>
      <w:r w:rsidRPr="00D34834">
        <w:rPr>
          <w:rFonts w:ascii="Arial" w:hAnsi="Arial" w:cs="Arial"/>
          <w:sz w:val="16"/>
          <w:szCs w:val="16"/>
        </w:rPr>
        <w:t xml:space="preserve">, Kraków 1935, s. 23, M. Allerhand </w:t>
      </w:r>
      <w:r w:rsidRPr="00D34834">
        <w:rPr>
          <w:rFonts w:ascii="Arial" w:hAnsi="Arial" w:cs="Arial"/>
          <w:i/>
          <w:iCs/>
          <w:sz w:val="16"/>
          <w:szCs w:val="16"/>
        </w:rPr>
        <w:t>Kodeks handlowy. Komentarz</w:t>
      </w:r>
      <w:r w:rsidRPr="00D34834">
        <w:rPr>
          <w:rFonts w:ascii="Arial" w:hAnsi="Arial" w:cs="Arial"/>
          <w:sz w:val="16"/>
          <w:szCs w:val="16"/>
        </w:rPr>
        <w:t xml:space="preserve">,  Lwów 1935, s. 5, S. Janczewski  </w:t>
      </w:r>
      <w:r w:rsidRPr="00D34834">
        <w:rPr>
          <w:rFonts w:ascii="Arial" w:hAnsi="Arial" w:cs="Arial"/>
          <w:i/>
          <w:iCs/>
          <w:sz w:val="16"/>
          <w:szCs w:val="16"/>
        </w:rPr>
        <w:t>Prawo handlowe, wekslowe i czekowe</w:t>
      </w:r>
      <w:r w:rsidRPr="00D34834">
        <w:rPr>
          <w:rFonts w:ascii="Arial" w:hAnsi="Arial" w:cs="Arial"/>
          <w:sz w:val="16"/>
          <w:szCs w:val="16"/>
        </w:rPr>
        <w:t xml:space="preserve">, Warszawa 1946, s. 30, W.J. Katner  </w:t>
      </w:r>
      <w:r w:rsidRPr="00D34834">
        <w:rPr>
          <w:rFonts w:ascii="Arial" w:hAnsi="Arial" w:cs="Arial"/>
          <w:i/>
          <w:iCs/>
          <w:sz w:val="16"/>
          <w:szCs w:val="16"/>
        </w:rPr>
        <w:t>Kupiec, podmiot gospodarczy, przedsiębiorca – ewolucja pojęcia, Gdańskie Studia Prawnicze t. V, Księga pamiątkowa dla uczczenia pracy naukowej profesora Kazimierza Kruczalaka</w:t>
      </w:r>
      <w:r w:rsidRPr="00D34834">
        <w:rPr>
          <w:rFonts w:ascii="Arial" w:hAnsi="Arial" w:cs="Arial"/>
          <w:sz w:val="16"/>
          <w:szCs w:val="16"/>
        </w:rPr>
        <w:t xml:space="preserve">, s. 172-173,  A. Bierć </w:t>
      </w:r>
      <w:r w:rsidRPr="00D34834">
        <w:rPr>
          <w:rFonts w:ascii="Arial" w:hAnsi="Arial" w:cs="Arial"/>
          <w:i/>
          <w:iCs/>
          <w:sz w:val="16"/>
          <w:szCs w:val="16"/>
        </w:rPr>
        <w:t>Sytuacja prawna przedsiębiorca. Zagadnienia wybrane</w:t>
      </w:r>
      <w:r w:rsidRPr="00D34834">
        <w:rPr>
          <w:rFonts w:ascii="Arial" w:hAnsi="Arial" w:cs="Arial"/>
          <w:sz w:val="16"/>
          <w:szCs w:val="16"/>
        </w:rPr>
        <w:t xml:space="preserve">, Studia Prawnicze z. 3/1998, s. 10, M. Szydło </w:t>
      </w:r>
      <w:r w:rsidRPr="00D34834">
        <w:rPr>
          <w:rFonts w:ascii="Arial" w:hAnsi="Arial" w:cs="Arial"/>
          <w:i/>
          <w:iCs/>
          <w:sz w:val="16"/>
          <w:szCs w:val="16"/>
        </w:rPr>
        <w:t>Pojęcie przedsiębiorcy w prawie polskim</w:t>
      </w:r>
      <w:r w:rsidRPr="00D34834">
        <w:rPr>
          <w:rFonts w:ascii="Arial" w:hAnsi="Arial" w:cs="Arial"/>
          <w:sz w:val="16"/>
          <w:szCs w:val="16"/>
        </w:rPr>
        <w:t>, Przegląd Sądowy 2002, nr 7-8, s. 94.</w:t>
      </w:r>
    </w:p>
    <w:p w14:paraId="16371930" w14:textId="77777777" w:rsidR="00C65316" w:rsidRPr="00D34834" w:rsidRDefault="00C65316" w:rsidP="00295358">
      <w:pPr>
        <w:pStyle w:val="Bezodstpw"/>
        <w:jc w:val="both"/>
        <w:rPr>
          <w:rFonts w:ascii="Arial" w:hAnsi="Arial" w:cs="Arial"/>
          <w:sz w:val="16"/>
          <w:szCs w:val="16"/>
        </w:rPr>
      </w:pPr>
    </w:p>
  </w:footnote>
  <w:footnote w:id="2">
    <w:p w14:paraId="2CFD728A" w14:textId="7220E1C3" w:rsidR="004E56AD" w:rsidRDefault="004E56AD" w:rsidP="00295358">
      <w:pPr>
        <w:pStyle w:val="Bezodstpw"/>
        <w:jc w:val="both"/>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C. Kosikowski </w:t>
      </w:r>
      <w:r w:rsidRPr="00D34834">
        <w:rPr>
          <w:rFonts w:ascii="Arial" w:hAnsi="Arial" w:cs="Arial"/>
          <w:i/>
          <w:iCs/>
          <w:sz w:val="16"/>
          <w:szCs w:val="16"/>
        </w:rPr>
        <w:t>Prawo działalności gospodarczej. Komentarz,</w:t>
      </w:r>
      <w:r w:rsidRPr="00D34834">
        <w:rPr>
          <w:rFonts w:ascii="Arial" w:hAnsi="Arial" w:cs="Arial"/>
          <w:sz w:val="16"/>
          <w:szCs w:val="16"/>
        </w:rPr>
        <w:t xml:space="preserve">  Warszawa 2002, s. 23.</w:t>
      </w:r>
    </w:p>
    <w:p w14:paraId="7281FA4F" w14:textId="77777777" w:rsidR="00C65316" w:rsidRPr="00D34834" w:rsidRDefault="00C65316" w:rsidP="00295358">
      <w:pPr>
        <w:pStyle w:val="Bezodstpw"/>
        <w:jc w:val="both"/>
        <w:rPr>
          <w:rFonts w:ascii="Arial" w:hAnsi="Arial" w:cs="Arial"/>
          <w:sz w:val="16"/>
          <w:szCs w:val="16"/>
        </w:rPr>
      </w:pPr>
    </w:p>
  </w:footnote>
  <w:footnote w:id="3">
    <w:p w14:paraId="121FE95C" w14:textId="57FB603B" w:rsidR="004E56AD" w:rsidRDefault="004E56AD" w:rsidP="00295358">
      <w:pPr>
        <w:pStyle w:val="Bezodstpw"/>
        <w:jc w:val="both"/>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P. Zaporowski </w:t>
      </w:r>
      <w:r w:rsidRPr="00D34834">
        <w:rPr>
          <w:rFonts w:ascii="Arial" w:hAnsi="Arial" w:cs="Arial"/>
          <w:i/>
          <w:iCs/>
          <w:sz w:val="16"/>
          <w:szCs w:val="16"/>
        </w:rPr>
        <w:t>Czy przedsiębiorcą może być osoba fizyczna niemająca pełnej zdolności do czynności prawnych?</w:t>
      </w:r>
      <w:r w:rsidRPr="00D34834">
        <w:rPr>
          <w:rFonts w:ascii="Arial" w:hAnsi="Arial" w:cs="Arial"/>
          <w:sz w:val="16"/>
          <w:szCs w:val="16"/>
        </w:rPr>
        <w:t>, Palestra 51/7-8(583-584) 2006, s. 37-45.</w:t>
      </w:r>
    </w:p>
    <w:p w14:paraId="61A78FC6" w14:textId="77777777" w:rsidR="00C65316" w:rsidRPr="00D34834" w:rsidRDefault="00C65316" w:rsidP="00295358">
      <w:pPr>
        <w:pStyle w:val="Bezodstpw"/>
        <w:jc w:val="both"/>
        <w:rPr>
          <w:rFonts w:ascii="Arial" w:hAnsi="Arial" w:cs="Arial"/>
          <w:sz w:val="16"/>
          <w:szCs w:val="16"/>
        </w:rPr>
      </w:pPr>
    </w:p>
  </w:footnote>
  <w:footnote w:id="4">
    <w:p w14:paraId="6D481E00" w14:textId="77777777" w:rsidR="004E56AD" w:rsidRPr="00D34834" w:rsidRDefault="004E56AD" w:rsidP="00295358">
      <w:pPr>
        <w:pStyle w:val="Bezodstpw"/>
        <w:jc w:val="both"/>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P. Lewandowski </w:t>
      </w:r>
      <w:r w:rsidRPr="00D34834">
        <w:rPr>
          <w:rFonts w:ascii="Arial" w:hAnsi="Arial" w:cs="Arial"/>
          <w:i/>
          <w:iCs/>
          <w:sz w:val="16"/>
          <w:szCs w:val="16"/>
        </w:rPr>
        <w:t>Zdolność do czynności prawnych przedsiębiorcy jako osoby fizycznej,</w:t>
      </w:r>
      <w:r w:rsidRPr="00D34834">
        <w:rPr>
          <w:rFonts w:ascii="Arial" w:hAnsi="Arial" w:cs="Arial"/>
          <w:sz w:val="16"/>
          <w:szCs w:val="16"/>
        </w:rPr>
        <w:t xml:space="preserve"> Studia Prawniczo-Ekonomiczne, t.</w:t>
      </w:r>
      <w:r>
        <w:rPr>
          <w:rFonts w:ascii="Arial" w:hAnsi="Arial" w:cs="Arial"/>
          <w:sz w:val="16"/>
          <w:szCs w:val="16"/>
        </w:rPr>
        <w:t> </w:t>
      </w:r>
      <w:r w:rsidRPr="00D34834">
        <w:rPr>
          <w:rFonts w:ascii="Arial" w:hAnsi="Arial" w:cs="Arial"/>
          <w:sz w:val="16"/>
          <w:szCs w:val="16"/>
        </w:rPr>
        <w:t>C</w:t>
      </w:r>
      <w:r>
        <w:rPr>
          <w:rFonts w:ascii="Arial" w:hAnsi="Arial" w:cs="Arial"/>
          <w:sz w:val="16"/>
          <w:szCs w:val="16"/>
        </w:rPr>
        <w:t> </w:t>
      </w:r>
      <w:r w:rsidRPr="00D34834">
        <w:rPr>
          <w:rFonts w:ascii="Arial" w:hAnsi="Arial" w:cs="Arial"/>
          <w:sz w:val="16"/>
          <w:szCs w:val="16"/>
        </w:rPr>
        <w:t>2016, s. 91–102.</w:t>
      </w:r>
    </w:p>
  </w:footnote>
  <w:footnote w:id="5">
    <w:p w14:paraId="77975E0F" w14:textId="6EA6FD50" w:rsidR="00F81906" w:rsidRPr="00D34834" w:rsidRDefault="00F81906" w:rsidP="00F81906">
      <w:pPr>
        <w:pStyle w:val="Tekstprzypisudolnego"/>
        <w:jc w:val="both"/>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A. Kidyba </w:t>
      </w:r>
      <w:r w:rsidRPr="00D34834">
        <w:rPr>
          <w:rFonts w:ascii="Arial" w:hAnsi="Arial" w:cs="Arial"/>
          <w:i/>
          <w:iCs/>
          <w:sz w:val="16"/>
          <w:szCs w:val="16"/>
        </w:rPr>
        <w:t>Zarządca udziałów (akcji) ustanowiony na podstawie art. 203 K</w:t>
      </w:r>
      <w:r w:rsidR="00331770">
        <w:rPr>
          <w:rFonts w:ascii="Arial" w:hAnsi="Arial" w:cs="Arial"/>
          <w:i/>
          <w:iCs/>
          <w:sz w:val="16"/>
          <w:szCs w:val="16"/>
        </w:rPr>
        <w:t>c</w:t>
      </w:r>
      <w:r w:rsidRPr="00D34834">
        <w:rPr>
          <w:rFonts w:ascii="Arial" w:hAnsi="Arial" w:cs="Arial"/>
          <w:i/>
          <w:iCs/>
          <w:sz w:val="16"/>
          <w:szCs w:val="16"/>
        </w:rPr>
        <w:t xml:space="preserve"> a wspólny przedstawiciel współuprawnionych z</w:t>
      </w:r>
      <w:r w:rsidR="00295358">
        <w:rPr>
          <w:rFonts w:ascii="Arial" w:hAnsi="Arial" w:cs="Arial"/>
          <w:i/>
          <w:iCs/>
          <w:sz w:val="16"/>
          <w:szCs w:val="16"/>
        </w:rPr>
        <w:t> </w:t>
      </w:r>
      <w:r w:rsidRPr="00D34834">
        <w:rPr>
          <w:rFonts w:ascii="Arial" w:hAnsi="Arial" w:cs="Arial"/>
          <w:i/>
          <w:iCs/>
          <w:sz w:val="16"/>
          <w:szCs w:val="16"/>
        </w:rPr>
        <w:t>udziałów (akcji)</w:t>
      </w:r>
      <w:r w:rsidRPr="00D34834">
        <w:rPr>
          <w:rFonts w:ascii="Arial" w:hAnsi="Arial" w:cs="Arial"/>
          <w:sz w:val="16"/>
          <w:szCs w:val="16"/>
        </w:rPr>
        <w:t xml:space="preserve"> Monitor Prawa Handlowego 1/2017, s. 16-20.</w:t>
      </w:r>
    </w:p>
  </w:footnote>
  <w:footnote w:id="6">
    <w:p w14:paraId="05006B20" w14:textId="77777777" w:rsidR="00F81906" w:rsidRPr="00D34834" w:rsidRDefault="00F81906" w:rsidP="00F81906">
      <w:pPr>
        <w:pStyle w:val="Tekstprzypisudolnego"/>
        <w:rPr>
          <w:rFonts w:ascii="Arial" w:hAnsi="Arial" w:cs="Arial"/>
          <w:b/>
          <w:bCs/>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Z. Jara </w:t>
      </w:r>
      <w:r w:rsidRPr="00D34834">
        <w:rPr>
          <w:rFonts w:ascii="Arial" w:hAnsi="Arial" w:cs="Arial"/>
          <w:i/>
          <w:iCs/>
          <w:sz w:val="16"/>
          <w:szCs w:val="16"/>
        </w:rPr>
        <w:t xml:space="preserve">Komentarz do art. 184 </w:t>
      </w:r>
      <w:r w:rsidRPr="00D34834">
        <w:rPr>
          <w:rFonts w:ascii="Arial" w:hAnsi="Arial" w:cs="Arial"/>
          <w:sz w:val="16"/>
          <w:szCs w:val="16"/>
        </w:rPr>
        <w:t>[w:]</w:t>
      </w:r>
      <w:r w:rsidRPr="00D34834">
        <w:rPr>
          <w:rFonts w:ascii="Arial" w:hAnsi="Arial" w:cs="Arial"/>
          <w:i/>
          <w:iCs/>
          <w:sz w:val="16"/>
          <w:szCs w:val="16"/>
        </w:rPr>
        <w:t xml:space="preserve"> Kodeks spółek handlowych, Komentarz/el </w:t>
      </w:r>
      <w:r w:rsidRPr="00D34834">
        <w:rPr>
          <w:rFonts w:ascii="Arial" w:hAnsi="Arial" w:cs="Arial"/>
          <w:sz w:val="16"/>
          <w:szCs w:val="16"/>
        </w:rPr>
        <w:t>pod</w:t>
      </w:r>
      <w:r w:rsidRPr="00D34834">
        <w:rPr>
          <w:rFonts w:ascii="Arial" w:hAnsi="Arial" w:cs="Arial"/>
          <w:i/>
          <w:iCs/>
          <w:sz w:val="16"/>
          <w:szCs w:val="16"/>
        </w:rPr>
        <w:t xml:space="preserve"> </w:t>
      </w:r>
      <w:r w:rsidRPr="00D34834">
        <w:rPr>
          <w:rFonts w:ascii="Arial" w:hAnsi="Arial" w:cs="Arial"/>
          <w:sz w:val="16"/>
          <w:szCs w:val="16"/>
        </w:rPr>
        <w:t>red. Z. Jara, 2022 r., wyd. 26</w:t>
      </w:r>
    </w:p>
    <w:p w14:paraId="7C1A5FE5" w14:textId="77777777" w:rsidR="00F81906" w:rsidRPr="00D34834" w:rsidRDefault="00F81906" w:rsidP="00F81906">
      <w:pPr>
        <w:pStyle w:val="Tekstprzypisudolnego"/>
        <w:rPr>
          <w:rFonts w:ascii="Arial" w:hAnsi="Arial" w:cs="Arial"/>
          <w:sz w:val="16"/>
          <w:szCs w:val="16"/>
        </w:rPr>
      </w:pPr>
    </w:p>
  </w:footnote>
  <w:footnote w:id="7">
    <w:p w14:paraId="28C5ED9D" w14:textId="77777777" w:rsidR="00F3131D" w:rsidRPr="00D34834" w:rsidRDefault="00F3131D" w:rsidP="00F3131D">
      <w:pPr>
        <w:pStyle w:val="Tekstprzypisudolnego"/>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IMI: skrót od ang. „Internal Market Information System”.</w:t>
      </w:r>
    </w:p>
  </w:footnote>
  <w:footnote w:id="8">
    <w:p w14:paraId="1697390C" w14:textId="77777777" w:rsidR="00F3131D" w:rsidRDefault="00F3131D" w:rsidP="00F3131D">
      <w:pPr>
        <w:pStyle w:val="Tekstprzypisudolnego"/>
        <w:spacing w:after="0"/>
        <w:jc w:val="both"/>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Dyrektywa Parlamentu Europejskiego i Rady 2014/24/UE z dnia 26 lutego 2014 r. w sprawie zamówień publicznych, uchylająca dyrektywę 2004/18/WE (Dz. Urz. UE L 94 z 28.03.2014, str. 65, z późn. zm.).</w:t>
      </w:r>
    </w:p>
    <w:p w14:paraId="42742E77" w14:textId="77777777" w:rsidR="00F3131D" w:rsidRPr="00D34834" w:rsidRDefault="00F3131D" w:rsidP="00F3131D">
      <w:pPr>
        <w:pStyle w:val="Tekstprzypisudolnego"/>
        <w:spacing w:after="0"/>
        <w:jc w:val="both"/>
        <w:rPr>
          <w:rFonts w:ascii="Arial" w:hAnsi="Arial" w:cs="Arial"/>
          <w:sz w:val="16"/>
          <w:szCs w:val="16"/>
        </w:rPr>
      </w:pPr>
    </w:p>
  </w:footnote>
  <w:footnote w:id="9">
    <w:p w14:paraId="7E277267" w14:textId="77777777" w:rsidR="00F3131D" w:rsidRPr="00D34834" w:rsidRDefault="00F3131D" w:rsidP="00F3131D">
      <w:pPr>
        <w:pStyle w:val="Tekstprzypisudolnego"/>
        <w:spacing w:after="0"/>
        <w:jc w:val="both"/>
        <w:rPr>
          <w:rFonts w:ascii="Arial" w:hAnsi="Arial" w:cs="Arial"/>
          <w:sz w:val="16"/>
          <w:szCs w:val="16"/>
        </w:rPr>
      </w:pPr>
      <w:r w:rsidRPr="00D34834">
        <w:rPr>
          <w:rStyle w:val="Odwoanieprzypisudolnego"/>
          <w:rFonts w:ascii="Arial" w:hAnsi="Arial" w:cs="Arial"/>
          <w:sz w:val="16"/>
          <w:szCs w:val="16"/>
        </w:rPr>
        <w:footnoteRef/>
      </w:r>
      <w:r w:rsidRPr="00D34834">
        <w:rPr>
          <w:rFonts w:ascii="Arial" w:hAnsi="Arial" w:cs="Arial"/>
          <w:sz w:val="16"/>
          <w:szCs w:val="16"/>
        </w:rPr>
        <w:t xml:space="preserve"> Dyrektywa Parlamentu Europejskiego i Rady 2014/25/UE z dnia 26 lutego 2014 r. w sprawie udzielania zamówień przez podmioty działające w sektorach gospodarki wodnej, energetyki, transportu i usług pocztowych, uchylająca dyrektywę 2004/17/WE (Dz. Urz. UE L 94 z 28.03.2014, str. 243,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752E4" w14:textId="2EA7198A" w:rsidR="00881426" w:rsidRDefault="00881426" w:rsidP="00881426">
    <w:pPr>
      <w:pStyle w:val="Nagwek"/>
    </w:pPr>
  </w:p>
  <w:p w14:paraId="71DD41BE" w14:textId="77777777" w:rsidR="00881426" w:rsidRDefault="008814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CEF"/>
    <w:multiLevelType w:val="hybridMultilevel"/>
    <w:tmpl w:val="896687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D3052F"/>
    <w:multiLevelType w:val="hybridMultilevel"/>
    <w:tmpl w:val="165AC6D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C74D6F"/>
    <w:multiLevelType w:val="hybridMultilevel"/>
    <w:tmpl w:val="842E7F34"/>
    <w:lvl w:ilvl="0" w:tplc="246CA51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906D5"/>
    <w:multiLevelType w:val="hybridMultilevel"/>
    <w:tmpl w:val="A0D44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F7981"/>
    <w:multiLevelType w:val="hybridMultilevel"/>
    <w:tmpl w:val="1DD49B80"/>
    <w:lvl w:ilvl="0" w:tplc="ED94F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F91B9C"/>
    <w:multiLevelType w:val="hybridMultilevel"/>
    <w:tmpl w:val="B0A2D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CF0EDB"/>
    <w:multiLevelType w:val="hybridMultilevel"/>
    <w:tmpl w:val="4EAEE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F702B5"/>
    <w:multiLevelType w:val="hybridMultilevel"/>
    <w:tmpl w:val="0D4A12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A324E3"/>
    <w:multiLevelType w:val="hybridMultilevel"/>
    <w:tmpl w:val="8222F6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835B13"/>
    <w:multiLevelType w:val="hybridMultilevel"/>
    <w:tmpl w:val="36584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C47EEA"/>
    <w:multiLevelType w:val="hybridMultilevel"/>
    <w:tmpl w:val="7CA099CE"/>
    <w:lvl w:ilvl="0" w:tplc="ED94F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311310"/>
    <w:multiLevelType w:val="hybridMultilevel"/>
    <w:tmpl w:val="E77865D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445ABD"/>
    <w:multiLevelType w:val="hybridMultilevel"/>
    <w:tmpl w:val="53FE9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724DE9"/>
    <w:multiLevelType w:val="hybridMultilevel"/>
    <w:tmpl w:val="35D812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F6380B"/>
    <w:multiLevelType w:val="hybridMultilevel"/>
    <w:tmpl w:val="BE543DCA"/>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B533D7"/>
    <w:multiLevelType w:val="hybridMultilevel"/>
    <w:tmpl w:val="F79CC1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7B3604"/>
    <w:multiLevelType w:val="hybridMultilevel"/>
    <w:tmpl w:val="E10641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E2136E"/>
    <w:multiLevelType w:val="hybridMultilevel"/>
    <w:tmpl w:val="52D8A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E754DF"/>
    <w:multiLevelType w:val="hybridMultilevel"/>
    <w:tmpl w:val="7E40038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D7415E"/>
    <w:multiLevelType w:val="hybridMultilevel"/>
    <w:tmpl w:val="DC542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4FC4296"/>
    <w:multiLevelType w:val="hybridMultilevel"/>
    <w:tmpl w:val="66647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5837C57"/>
    <w:multiLevelType w:val="hybridMultilevel"/>
    <w:tmpl w:val="F4503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FF15C7"/>
    <w:multiLevelType w:val="hybridMultilevel"/>
    <w:tmpl w:val="E67601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1A1119"/>
    <w:multiLevelType w:val="hybridMultilevel"/>
    <w:tmpl w:val="6F464A58"/>
    <w:lvl w:ilvl="0" w:tplc="173CB472">
      <w:start w:val="7"/>
      <w:numFmt w:val="decimal"/>
      <w:lvlText w:val="%1)"/>
      <w:lvlJc w:val="left"/>
      <w:pPr>
        <w:ind w:left="360" w:hanging="360"/>
      </w:pPr>
      <w:rPr>
        <w:rFonts w:hint="default"/>
      </w:rPr>
    </w:lvl>
    <w:lvl w:ilvl="1" w:tplc="FFFFFFFF">
      <w:start w:val="1"/>
      <w:numFmt w:val="lowerLetter"/>
      <w:lvlText w:val="%2."/>
      <w:lvlJc w:val="left"/>
      <w:pPr>
        <w:ind w:left="3225" w:hanging="360"/>
      </w:pPr>
    </w:lvl>
    <w:lvl w:ilvl="2" w:tplc="FFFFFFFF" w:tentative="1">
      <w:start w:val="1"/>
      <w:numFmt w:val="lowerRoman"/>
      <w:lvlText w:val="%3."/>
      <w:lvlJc w:val="right"/>
      <w:pPr>
        <w:ind w:left="3945" w:hanging="180"/>
      </w:pPr>
    </w:lvl>
    <w:lvl w:ilvl="3" w:tplc="FFFFFFFF" w:tentative="1">
      <w:start w:val="1"/>
      <w:numFmt w:val="decimal"/>
      <w:lvlText w:val="%4."/>
      <w:lvlJc w:val="left"/>
      <w:pPr>
        <w:ind w:left="4665" w:hanging="360"/>
      </w:pPr>
    </w:lvl>
    <w:lvl w:ilvl="4" w:tplc="FFFFFFFF" w:tentative="1">
      <w:start w:val="1"/>
      <w:numFmt w:val="lowerLetter"/>
      <w:lvlText w:val="%5."/>
      <w:lvlJc w:val="left"/>
      <w:pPr>
        <w:ind w:left="5385" w:hanging="360"/>
      </w:pPr>
    </w:lvl>
    <w:lvl w:ilvl="5" w:tplc="FFFFFFFF" w:tentative="1">
      <w:start w:val="1"/>
      <w:numFmt w:val="lowerRoman"/>
      <w:lvlText w:val="%6."/>
      <w:lvlJc w:val="right"/>
      <w:pPr>
        <w:ind w:left="6105" w:hanging="180"/>
      </w:pPr>
    </w:lvl>
    <w:lvl w:ilvl="6" w:tplc="FFFFFFFF" w:tentative="1">
      <w:start w:val="1"/>
      <w:numFmt w:val="decimal"/>
      <w:lvlText w:val="%7."/>
      <w:lvlJc w:val="left"/>
      <w:pPr>
        <w:ind w:left="6825" w:hanging="360"/>
      </w:pPr>
    </w:lvl>
    <w:lvl w:ilvl="7" w:tplc="FFFFFFFF" w:tentative="1">
      <w:start w:val="1"/>
      <w:numFmt w:val="lowerLetter"/>
      <w:lvlText w:val="%8."/>
      <w:lvlJc w:val="left"/>
      <w:pPr>
        <w:ind w:left="7545" w:hanging="360"/>
      </w:pPr>
    </w:lvl>
    <w:lvl w:ilvl="8" w:tplc="FFFFFFFF" w:tentative="1">
      <w:start w:val="1"/>
      <w:numFmt w:val="lowerRoman"/>
      <w:lvlText w:val="%9."/>
      <w:lvlJc w:val="right"/>
      <w:pPr>
        <w:ind w:left="8265" w:hanging="180"/>
      </w:pPr>
    </w:lvl>
  </w:abstractNum>
  <w:abstractNum w:abstractNumId="24" w15:restartNumberingAfterBreak="0">
    <w:nsid w:val="4912029B"/>
    <w:multiLevelType w:val="hybridMultilevel"/>
    <w:tmpl w:val="35C2C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D6529C"/>
    <w:multiLevelType w:val="hybridMultilevel"/>
    <w:tmpl w:val="4F4813B2"/>
    <w:lvl w:ilvl="0" w:tplc="04150011">
      <w:start w:val="1"/>
      <w:numFmt w:val="decimal"/>
      <w:lvlText w:val="%1)"/>
      <w:lvlJc w:val="left"/>
      <w:pPr>
        <w:ind w:left="360" w:hanging="360"/>
      </w:pPr>
    </w:lvl>
    <w:lvl w:ilvl="1" w:tplc="04150019">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26" w15:restartNumberingAfterBreak="0">
    <w:nsid w:val="4DDD5263"/>
    <w:multiLevelType w:val="hybridMultilevel"/>
    <w:tmpl w:val="E5CEC6F4"/>
    <w:lvl w:ilvl="0" w:tplc="40660E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E72A13"/>
    <w:multiLevelType w:val="hybridMultilevel"/>
    <w:tmpl w:val="1D1C17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58554A"/>
    <w:multiLevelType w:val="hybridMultilevel"/>
    <w:tmpl w:val="B3D0C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A358B4"/>
    <w:multiLevelType w:val="hybridMultilevel"/>
    <w:tmpl w:val="FE50DB2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8980E20"/>
    <w:multiLevelType w:val="hybridMultilevel"/>
    <w:tmpl w:val="FDE27AF6"/>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2760E3"/>
    <w:multiLevelType w:val="hybridMultilevel"/>
    <w:tmpl w:val="437C48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C08635D"/>
    <w:multiLevelType w:val="hybridMultilevel"/>
    <w:tmpl w:val="4C129C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0BA19E5"/>
    <w:multiLevelType w:val="hybridMultilevel"/>
    <w:tmpl w:val="49FCD1AA"/>
    <w:lvl w:ilvl="0" w:tplc="728028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EC3AB2"/>
    <w:multiLevelType w:val="hybridMultilevel"/>
    <w:tmpl w:val="D8FCF9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7F03BB"/>
    <w:multiLevelType w:val="hybridMultilevel"/>
    <w:tmpl w:val="B78C18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9CD2D50"/>
    <w:multiLevelType w:val="hybridMultilevel"/>
    <w:tmpl w:val="1B6ECBE0"/>
    <w:lvl w:ilvl="0" w:tplc="D966DA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BC43F5"/>
    <w:multiLevelType w:val="hybridMultilevel"/>
    <w:tmpl w:val="A102627E"/>
    <w:lvl w:ilvl="0" w:tplc="ED94F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43146FC"/>
    <w:multiLevelType w:val="hybridMultilevel"/>
    <w:tmpl w:val="F3A22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C52794"/>
    <w:multiLevelType w:val="hybridMultilevel"/>
    <w:tmpl w:val="FF4A3D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091041"/>
    <w:multiLevelType w:val="hybridMultilevel"/>
    <w:tmpl w:val="70D619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E29314D"/>
    <w:multiLevelType w:val="hybridMultilevel"/>
    <w:tmpl w:val="A4B89DDA"/>
    <w:lvl w:ilvl="0" w:tplc="795AD42E">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1763458">
    <w:abstractNumId w:val="25"/>
  </w:num>
  <w:num w:numId="2" w16cid:durableId="812528347">
    <w:abstractNumId w:val="40"/>
  </w:num>
  <w:num w:numId="3" w16cid:durableId="288512194">
    <w:abstractNumId w:val="33"/>
  </w:num>
  <w:num w:numId="4" w16cid:durableId="154079457">
    <w:abstractNumId w:val="21"/>
  </w:num>
  <w:num w:numId="5" w16cid:durableId="296186739">
    <w:abstractNumId w:val="1"/>
  </w:num>
  <w:num w:numId="6" w16cid:durableId="1453093970">
    <w:abstractNumId w:val="20"/>
  </w:num>
  <w:num w:numId="7" w16cid:durableId="1168981126">
    <w:abstractNumId w:val="13"/>
  </w:num>
  <w:num w:numId="8" w16cid:durableId="942346356">
    <w:abstractNumId w:val="32"/>
  </w:num>
  <w:num w:numId="9" w16cid:durableId="1970159423">
    <w:abstractNumId w:val="0"/>
  </w:num>
  <w:num w:numId="10" w16cid:durableId="1987708122">
    <w:abstractNumId w:val="24"/>
  </w:num>
  <w:num w:numId="11" w16cid:durableId="1051687288">
    <w:abstractNumId w:val="18"/>
  </w:num>
  <w:num w:numId="12" w16cid:durableId="1487555743">
    <w:abstractNumId w:val="19"/>
  </w:num>
  <w:num w:numId="13" w16cid:durableId="1601989525">
    <w:abstractNumId w:val="5"/>
  </w:num>
  <w:num w:numId="14" w16cid:durableId="1012292771">
    <w:abstractNumId w:val="7"/>
  </w:num>
  <w:num w:numId="15" w16cid:durableId="457265541">
    <w:abstractNumId w:val="2"/>
  </w:num>
  <w:num w:numId="16" w16cid:durableId="1544058063">
    <w:abstractNumId w:val="6"/>
  </w:num>
  <w:num w:numId="17" w16cid:durableId="1780880479">
    <w:abstractNumId w:val="28"/>
  </w:num>
  <w:num w:numId="18" w16cid:durableId="625699423">
    <w:abstractNumId w:val="35"/>
  </w:num>
  <w:num w:numId="19" w16cid:durableId="510532158">
    <w:abstractNumId w:val="16"/>
  </w:num>
  <w:num w:numId="20" w16cid:durableId="1097286610">
    <w:abstractNumId w:val="29"/>
  </w:num>
  <w:num w:numId="21" w16cid:durableId="243344157">
    <w:abstractNumId w:val="26"/>
  </w:num>
  <w:num w:numId="22" w16cid:durableId="926958322">
    <w:abstractNumId w:val="39"/>
  </w:num>
  <w:num w:numId="23" w16cid:durableId="1190682980">
    <w:abstractNumId w:val="30"/>
  </w:num>
  <w:num w:numId="24" w16cid:durableId="1020547574">
    <w:abstractNumId w:val="11"/>
  </w:num>
  <w:num w:numId="25" w16cid:durableId="750278442">
    <w:abstractNumId w:val="23"/>
  </w:num>
  <w:num w:numId="26" w16cid:durableId="1056469695">
    <w:abstractNumId w:val="31"/>
  </w:num>
  <w:num w:numId="27" w16cid:durableId="457528225">
    <w:abstractNumId w:val="3"/>
  </w:num>
  <w:num w:numId="28" w16cid:durableId="938024718">
    <w:abstractNumId w:val="27"/>
  </w:num>
  <w:num w:numId="29" w16cid:durableId="1543251545">
    <w:abstractNumId w:val="34"/>
  </w:num>
  <w:num w:numId="30" w16cid:durableId="1467965552">
    <w:abstractNumId w:val="36"/>
  </w:num>
  <w:num w:numId="31" w16cid:durableId="1169753434">
    <w:abstractNumId w:val="38"/>
  </w:num>
  <w:num w:numId="32" w16cid:durableId="1755203220">
    <w:abstractNumId w:val="37"/>
  </w:num>
  <w:num w:numId="33" w16cid:durableId="1737123375">
    <w:abstractNumId w:val="10"/>
  </w:num>
  <w:num w:numId="34" w16cid:durableId="1935437737">
    <w:abstractNumId w:val="4"/>
  </w:num>
  <w:num w:numId="35" w16cid:durableId="913469741">
    <w:abstractNumId w:val="15"/>
  </w:num>
  <w:num w:numId="36" w16cid:durableId="1910922711">
    <w:abstractNumId w:val="17"/>
  </w:num>
  <w:num w:numId="37" w16cid:durableId="1895192495">
    <w:abstractNumId w:val="12"/>
  </w:num>
  <w:num w:numId="38" w16cid:durableId="1595481998">
    <w:abstractNumId w:val="8"/>
  </w:num>
  <w:num w:numId="39" w16cid:durableId="214051915">
    <w:abstractNumId w:val="22"/>
  </w:num>
  <w:num w:numId="40" w16cid:durableId="2007853026">
    <w:abstractNumId w:val="9"/>
  </w:num>
  <w:num w:numId="41" w16cid:durableId="1928806722">
    <w:abstractNumId w:val="41"/>
  </w:num>
  <w:num w:numId="42" w16cid:durableId="1221357661">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ACA"/>
    <w:rsid w:val="00002CD0"/>
    <w:rsid w:val="000218A0"/>
    <w:rsid w:val="00021FF0"/>
    <w:rsid w:val="00022058"/>
    <w:rsid w:val="00022A8E"/>
    <w:rsid w:val="000261E4"/>
    <w:rsid w:val="000307ED"/>
    <w:rsid w:val="000357E5"/>
    <w:rsid w:val="00036734"/>
    <w:rsid w:val="00054582"/>
    <w:rsid w:val="00057CC5"/>
    <w:rsid w:val="000610FB"/>
    <w:rsid w:val="0006198A"/>
    <w:rsid w:val="00065478"/>
    <w:rsid w:val="000669CB"/>
    <w:rsid w:val="0007098B"/>
    <w:rsid w:val="00075D5E"/>
    <w:rsid w:val="000817E8"/>
    <w:rsid w:val="00082FF5"/>
    <w:rsid w:val="0008334A"/>
    <w:rsid w:val="0008457D"/>
    <w:rsid w:val="00094897"/>
    <w:rsid w:val="00096DD8"/>
    <w:rsid w:val="000A0BC5"/>
    <w:rsid w:val="000A0EED"/>
    <w:rsid w:val="000A5B2B"/>
    <w:rsid w:val="000A61F4"/>
    <w:rsid w:val="000A7570"/>
    <w:rsid w:val="000B2890"/>
    <w:rsid w:val="000B297D"/>
    <w:rsid w:val="000B35F9"/>
    <w:rsid w:val="000B382F"/>
    <w:rsid w:val="000B4931"/>
    <w:rsid w:val="000B7DCD"/>
    <w:rsid w:val="000C3414"/>
    <w:rsid w:val="000D0784"/>
    <w:rsid w:val="000D17EA"/>
    <w:rsid w:val="000D3642"/>
    <w:rsid w:val="000D79BB"/>
    <w:rsid w:val="000E147A"/>
    <w:rsid w:val="000F2229"/>
    <w:rsid w:val="000F27E6"/>
    <w:rsid w:val="000F5D41"/>
    <w:rsid w:val="000F6563"/>
    <w:rsid w:val="000F6FFE"/>
    <w:rsid w:val="001014FB"/>
    <w:rsid w:val="0010313E"/>
    <w:rsid w:val="00110CC5"/>
    <w:rsid w:val="0011422D"/>
    <w:rsid w:val="0011428F"/>
    <w:rsid w:val="0011512C"/>
    <w:rsid w:val="001325CD"/>
    <w:rsid w:val="00134C99"/>
    <w:rsid w:val="00135FEE"/>
    <w:rsid w:val="00146199"/>
    <w:rsid w:val="00147532"/>
    <w:rsid w:val="0015096C"/>
    <w:rsid w:val="001607DB"/>
    <w:rsid w:val="00171414"/>
    <w:rsid w:val="001728EB"/>
    <w:rsid w:val="00182F28"/>
    <w:rsid w:val="0018495D"/>
    <w:rsid w:val="0018632C"/>
    <w:rsid w:val="001914A6"/>
    <w:rsid w:val="00196876"/>
    <w:rsid w:val="001A0BF6"/>
    <w:rsid w:val="001A0FBC"/>
    <w:rsid w:val="001A4179"/>
    <w:rsid w:val="001A5107"/>
    <w:rsid w:val="001B090C"/>
    <w:rsid w:val="001B188E"/>
    <w:rsid w:val="001B1A53"/>
    <w:rsid w:val="001B28A9"/>
    <w:rsid w:val="001B2DAE"/>
    <w:rsid w:val="001B5A6A"/>
    <w:rsid w:val="001C144E"/>
    <w:rsid w:val="001C456C"/>
    <w:rsid w:val="001D3EE1"/>
    <w:rsid w:val="001D5067"/>
    <w:rsid w:val="001E19EB"/>
    <w:rsid w:val="001E5832"/>
    <w:rsid w:val="001E6D13"/>
    <w:rsid w:val="001E7EAC"/>
    <w:rsid w:val="001F0C2A"/>
    <w:rsid w:val="001F0E0D"/>
    <w:rsid w:val="001F2C15"/>
    <w:rsid w:val="001F2E07"/>
    <w:rsid w:val="001F3316"/>
    <w:rsid w:val="001F6E40"/>
    <w:rsid w:val="00202CCE"/>
    <w:rsid w:val="002052B8"/>
    <w:rsid w:val="00205F34"/>
    <w:rsid w:val="00206BEE"/>
    <w:rsid w:val="00207851"/>
    <w:rsid w:val="00210172"/>
    <w:rsid w:val="00212678"/>
    <w:rsid w:val="00215351"/>
    <w:rsid w:val="002238E9"/>
    <w:rsid w:val="00224078"/>
    <w:rsid w:val="00224159"/>
    <w:rsid w:val="00225D0B"/>
    <w:rsid w:val="00235FC9"/>
    <w:rsid w:val="00245F91"/>
    <w:rsid w:val="002466F1"/>
    <w:rsid w:val="00247120"/>
    <w:rsid w:val="002516FF"/>
    <w:rsid w:val="002525C2"/>
    <w:rsid w:val="002525DF"/>
    <w:rsid w:val="00256BD6"/>
    <w:rsid w:val="002613FF"/>
    <w:rsid w:val="00264C05"/>
    <w:rsid w:val="00264F67"/>
    <w:rsid w:val="00267DAA"/>
    <w:rsid w:val="002706D0"/>
    <w:rsid w:val="00273253"/>
    <w:rsid w:val="00273FD3"/>
    <w:rsid w:val="002759C8"/>
    <w:rsid w:val="00276F7E"/>
    <w:rsid w:val="002822DD"/>
    <w:rsid w:val="00282C98"/>
    <w:rsid w:val="00290C15"/>
    <w:rsid w:val="00292182"/>
    <w:rsid w:val="00295358"/>
    <w:rsid w:val="00295AFE"/>
    <w:rsid w:val="002A1429"/>
    <w:rsid w:val="002A6123"/>
    <w:rsid w:val="002B1A07"/>
    <w:rsid w:val="002B66D1"/>
    <w:rsid w:val="002C0D4C"/>
    <w:rsid w:val="002C64A2"/>
    <w:rsid w:val="002D53ED"/>
    <w:rsid w:val="002D5D98"/>
    <w:rsid w:val="002D6405"/>
    <w:rsid w:val="002D7E9C"/>
    <w:rsid w:val="002E033A"/>
    <w:rsid w:val="002E0609"/>
    <w:rsid w:val="002E1358"/>
    <w:rsid w:val="002E4C13"/>
    <w:rsid w:val="002E6093"/>
    <w:rsid w:val="002F177D"/>
    <w:rsid w:val="002F347B"/>
    <w:rsid w:val="002F42CE"/>
    <w:rsid w:val="002F4DC1"/>
    <w:rsid w:val="002F7968"/>
    <w:rsid w:val="00311B06"/>
    <w:rsid w:val="003140CA"/>
    <w:rsid w:val="00314338"/>
    <w:rsid w:val="00316C08"/>
    <w:rsid w:val="00331770"/>
    <w:rsid w:val="00332052"/>
    <w:rsid w:val="00336E66"/>
    <w:rsid w:val="00344F69"/>
    <w:rsid w:val="00350C3D"/>
    <w:rsid w:val="00351FD3"/>
    <w:rsid w:val="0035256B"/>
    <w:rsid w:val="003564DC"/>
    <w:rsid w:val="00363BAD"/>
    <w:rsid w:val="00372F62"/>
    <w:rsid w:val="00375BCA"/>
    <w:rsid w:val="00376342"/>
    <w:rsid w:val="00382A33"/>
    <w:rsid w:val="0039120C"/>
    <w:rsid w:val="0039208C"/>
    <w:rsid w:val="0039229E"/>
    <w:rsid w:val="00394862"/>
    <w:rsid w:val="0039577C"/>
    <w:rsid w:val="003B0FF3"/>
    <w:rsid w:val="003C1D35"/>
    <w:rsid w:val="003C335D"/>
    <w:rsid w:val="003D3EEC"/>
    <w:rsid w:val="003D69AF"/>
    <w:rsid w:val="003E164F"/>
    <w:rsid w:val="003E1DC7"/>
    <w:rsid w:val="003E1F79"/>
    <w:rsid w:val="003E381B"/>
    <w:rsid w:val="003E6561"/>
    <w:rsid w:val="003F0AB1"/>
    <w:rsid w:val="00400D44"/>
    <w:rsid w:val="00401710"/>
    <w:rsid w:val="00410911"/>
    <w:rsid w:val="00412834"/>
    <w:rsid w:val="00413B5F"/>
    <w:rsid w:val="004176A8"/>
    <w:rsid w:val="00417975"/>
    <w:rsid w:val="004231E8"/>
    <w:rsid w:val="00423250"/>
    <w:rsid w:val="0042425B"/>
    <w:rsid w:val="00424CF2"/>
    <w:rsid w:val="004270E6"/>
    <w:rsid w:val="00434217"/>
    <w:rsid w:val="0044079E"/>
    <w:rsid w:val="00441240"/>
    <w:rsid w:val="00451AB8"/>
    <w:rsid w:val="004540C6"/>
    <w:rsid w:val="00462ABC"/>
    <w:rsid w:val="00470518"/>
    <w:rsid w:val="004720A5"/>
    <w:rsid w:val="004761CA"/>
    <w:rsid w:val="0048147A"/>
    <w:rsid w:val="00486EB5"/>
    <w:rsid w:val="00492A48"/>
    <w:rsid w:val="00492E65"/>
    <w:rsid w:val="00495A7E"/>
    <w:rsid w:val="00497E1D"/>
    <w:rsid w:val="004A0E77"/>
    <w:rsid w:val="004A2D52"/>
    <w:rsid w:val="004A4281"/>
    <w:rsid w:val="004A47D6"/>
    <w:rsid w:val="004B4707"/>
    <w:rsid w:val="004B5208"/>
    <w:rsid w:val="004B60EF"/>
    <w:rsid w:val="004C33F3"/>
    <w:rsid w:val="004C5BF4"/>
    <w:rsid w:val="004D1E44"/>
    <w:rsid w:val="004D3063"/>
    <w:rsid w:val="004D5192"/>
    <w:rsid w:val="004D529E"/>
    <w:rsid w:val="004D7D17"/>
    <w:rsid w:val="004E52EE"/>
    <w:rsid w:val="004E56AD"/>
    <w:rsid w:val="004E5A54"/>
    <w:rsid w:val="004F42AC"/>
    <w:rsid w:val="004F52B6"/>
    <w:rsid w:val="005074E9"/>
    <w:rsid w:val="005075F6"/>
    <w:rsid w:val="005133F4"/>
    <w:rsid w:val="005147B1"/>
    <w:rsid w:val="005159A5"/>
    <w:rsid w:val="005168FA"/>
    <w:rsid w:val="00526454"/>
    <w:rsid w:val="00527976"/>
    <w:rsid w:val="00530D55"/>
    <w:rsid w:val="00531841"/>
    <w:rsid w:val="005323DF"/>
    <w:rsid w:val="00533642"/>
    <w:rsid w:val="0054081D"/>
    <w:rsid w:val="005479D9"/>
    <w:rsid w:val="00553E48"/>
    <w:rsid w:val="005564F3"/>
    <w:rsid w:val="005631D2"/>
    <w:rsid w:val="005676C2"/>
    <w:rsid w:val="00573407"/>
    <w:rsid w:val="0058233B"/>
    <w:rsid w:val="00586556"/>
    <w:rsid w:val="00595C28"/>
    <w:rsid w:val="005B4FE5"/>
    <w:rsid w:val="005B6AC6"/>
    <w:rsid w:val="005B6E80"/>
    <w:rsid w:val="005C0E42"/>
    <w:rsid w:val="005C158A"/>
    <w:rsid w:val="005D29C7"/>
    <w:rsid w:val="005D666A"/>
    <w:rsid w:val="005E5E5C"/>
    <w:rsid w:val="005F0F25"/>
    <w:rsid w:val="005F3FD2"/>
    <w:rsid w:val="0060210D"/>
    <w:rsid w:val="006051A4"/>
    <w:rsid w:val="006062D5"/>
    <w:rsid w:val="00606961"/>
    <w:rsid w:val="00606DA9"/>
    <w:rsid w:val="00614761"/>
    <w:rsid w:val="00616C5E"/>
    <w:rsid w:val="00617E2C"/>
    <w:rsid w:val="00620714"/>
    <w:rsid w:val="00625D07"/>
    <w:rsid w:val="00634825"/>
    <w:rsid w:val="0064226B"/>
    <w:rsid w:val="0064305F"/>
    <w:rsid w:val="0064375C"/>
    <w:rsid w:val="00645AFB"/>
    <w:rsid w:val="00646F91"/>
    <w:rsid w:val="00650960"/>
    <w:rsid w:val="006628A2"/>
    <w:rsid w:val="0066356A"/>
    <w:rsid w:val="0066419D"/>
    <w:rsid w:val="00664C3D"/>
    <w:rsid w:val="00670B35"/>
    <w:rsid w:val="00672509"/>
    <w:rsid w:val="00672954"/>
    <w:rsid w:val="006755A3"/>
    <w:rsid w:val="00675B43"/>
    <w:rsid w:val="00675B9A"/>
    <w:rsid w:val="006774F7"/>
    <w:rsid w:val="00683522"/>
    <w:rsid w:val="006918AD"/>
    <w:rsid w:val="00696A71"/>
    <w:rsid w:val="006A0B22"/>
    <w:rsid w:val="006A5703"/>
    <w:rsid w:val="006A6CFC"/>
    <w:rsid w:val="006B2BC2"/>
    <w:rsid w:val="006B582A"/>
    <w:rsid w:val="006C7B8A"/>
    <w:rsid w:val="006E4D40"/>
    <w:rsid w:val="006F4254"/>
    <w:rsid w:val="006F65AA"/>
    <w:rsid w:val="006F7F67"/>
    <w:rsid w:val="0070590F"/>
    <w:rsid w:val="00710935"/>
    <w:rsid w:val="00711F65"/>
    <w:rsid w:val="00714B07"/>
    <w:rsid w:val="00715FF6"/>
    <w:rsid w:val="00724D0D"/>
    <w:rsid w:val="0073152C"/>
    <w:rsid w:val="00733AA5"/>
    <w:rsid w:val="00740B13"/>
    <w:rsid w:val="007447E6"/>
    <w:rsid w:val="00746F66"/>
    <w:rsid w:val="007537A0"/>
    <w:rsid w:val="00756A01"/>
    <w:rsid w:val="00761A8D"/>
    <w:rsid w:val="00764C23"/>
    <w:rsid w:val="00770278"/>
    <w:rsid w:val="00772BB0"/>
    <w:rsid w:val="00785798"/>
    <w:rsid w:val="00785C7B"/>
    <w:rsid w:val="00791A0A"/>
    <w:rsid w:val="00794071"/>
    <w:rsid w:val="007A6666"/>
    <w:rsid w:val="007B0302"/>
    <w:rsid w:val="007B0534"/>
    <w:rsid w:val="007C2869"/>
    <w:rsid w:val="007C3690"/>
    <w:rsid w:val="007C38A5"/>
    <w:rsid w:val="007C38D4"/>
    <w:rsid w:val="007C42D5"/>
    <w:rsid w:val="007C7B57"/>
    <w:rsid w:val="007D081B"/>
    <w:rsid w:val="007D342F"/>
    <w:rsid w:val="007E23EC"/>
    <w:rsid w:val="007F236E"/>
    <w:rsid w:val="00807C5B"/>
    <w:rsid w:val="00814A69"/>
    <w:rsid w:val="00816613"/>
    <w:rsid w:val="00816D80"/>
    <w:rsid w:val="00821D42"/>
    <w:rsid w:val="00827EA2"/>
    <w:rsid w:val="00830356"/>
    <w:rsid w:val="00833E6F"/>
    <w:rsid w:val="00842C9E"/>
    <w:rsid w:val="00850A25"/>
    <w:rsid w:val="00850D03"/>
    <w:rsid w:val="00851E3F"/>
    <w:rsid w:val="00855C56"/>
    <w:rsid w:val="00861D52"/>
    <w:rsid w:val="008713DC"/>
    <w:rsid w:val="008723B4"/>
    <w:rsid w:val="00874248"/>
    <w:rsid w:val="008755F3"/>
    <w:rsid w:val="0088020A"/>
    <w:rsid w:val="00881426"/>
    <w:rsid w:val="008869A3"/>
    <w:rsid w:val="00891229"/>
    <w:rsid w:val="00893C49"/>
    <w:rsid w:val="00895E6F"/>
    <w:rsid w:val="008B1648"/>
    <w:rsid w:val="008B7314"/>
    <w:rsid w:val="008C7A7C"/>
    <w:rsid w:val="008D039F"/>
    <w:rsid w:val="008D0432"/>
    <w:rsid w:val="008E3DC3"/>
    <w:rsid w:val="008E419C"/>
    <w:rsid w:val="008E424E"/>
    <w:rsid w:val="008E5EA8"/>
    <w:rsid w:val="0090782A"/>
    <w:rsid w:val="009125C2"/>
    <w:rsid w:val="00914DAF"/>
    <w:rsid w:val="0091708D"/>
    <w:rsid w:val="00920CE0"/>
    <w:rsid w:val="00925CB4"/>
    <w:rsid w:val="009308FC"/>
    <w:rsid w:val="009367E6"/>
    <w:rsid w:val="0094700F"/>
    <w:rsid w:val="00947DD2"/>
    <w:rsid w:val="00964C55"/>
    <w:rsid w:val="00972594"/>
    <w:rsid w:val="00982F38"/>
    <w:rsid w:val="0099081B"/>
    <w:rsid w:val="00991E77"/>
    <w:rsid w:val="0099573D"/>
    <w:rsid w:val="009A1EDE"/>
    <w:rsid w:val="009A3E5D"/>
    <w:rsid w:val="009A4100"/>
    <w:rsid w:val="009B03A1"/>
    <w:rsid w:val="009B0977"/>
    <w:rsid w:val="009B2535"/>
    <w:rsid w:val="009B6449"/>
    <w:rsid w:val="009B7608"/>
    <w:rsid w:val="009C049C"/>
    <w:rsid w:val="009C4A17"/>
    <w:rsid w:val="009C5EED"/>
    <w:rsid w:val="009D1EAD"/>
    <w:rsid w:val="009D388F"/>
    <w:rsid w:val="009D7B57"/>
    <w:rsid w:val="009E1043"/>
    <w:rsid w:val="009E5D6F"/>
    <w:rsid w:val="009E7B95"/>
    <w:rsid w:val="009F1264"/>
    <w:rsid w:val="009F2208"/>
    <w:rsid w:val="009F47C1"/>
    <w:rsid w:val="009F6625"/>
    <w:rsid w:val="00A0293D"/>
    <w:rsid w:val="00A139F6"/>
    <w:rsid w:val="00A16F66"/>
    <w:rsid w:val="00A256EB"/>
    <w:rsid w:val="00A2603C"/>
    <w:rsid w:val="00A307A6"/>
    <w:rsid w:val="00A31558"/>
    <w:rsid w:val="00A31C47"/>
    <w:rsid w:val="00A47C1E"/>
    <w:rsid w:val="00A52500"/>
    <w:rsid w:val="00A65618"/>
    <w:rsid w:val="00A66EDE"/>
    <w:rsid w:val="00A7551B"/>
    <w:rsid w:val="00A7558A"/>
    <w:rsid w:val="00A77B49"/>
    <w:rsid w:val="00A8372B"/>
    <w:rsid w:val="00A838C6"/>
    <w:rsid w:val="00A84E22"/>
    <w:rsid w:val="00A87860"/>
    <w:rsid w:val="00A90ACD"/>
    <w:rsid w:val="00A9475E"/>
    <w:rsid w:val="00A94E26"/>
    <w:rsid w:val="00AA2315"/>
    <w:rsid w:val="00AB48EF"/>
    <w:rsid w:val="00AB4D4E"/>
    <w:rsid w:val="00AB71C8"/>
    <w:rsid w:val="00AC0733"/>
    <w:rsid w:val="00AC1AF3"/>
    <w:rsid w:val="00AC1BA9"/>
    <w:rsid w:val="00AC5CF3"/>
    <w:rsid w:val="00AC6FF8"/>
    <w:rsid w:val="00AC7C84"/>
    <w:rsid w:val="00AF2B14"/>
    <w:rsid w:val="00B0096B"/>
    <w:rsid w:val="00B05285"/>
    <w:rsid w:val="00B06B8D"/>
    <w:rsid w:val="00B11CF5"/>
    <w:rsid w:val="00B13224"/>
    <w:rsid w:val="00B145E3"/>
    <w:rsid w:val="00B155D4"/>
    <w:rsid w:val="00B15DFB"/>
    <w:rsid w:val="00B25EE0"/>
    <w:rsid w:val="00B307A2"/>
    <w:rsid w:val="00B3274C"/>
    <w:rsid w:val="00B35EB9"/>
    <w:rsid w:val="00B36720"/>
    <w:rsid w:val="00B45921"/>
    <w:rsid w:val="00B509C7"/>
    <w:rsid w:val="00B52436"/>
    <w:rsid w:val="00B5425D"/>
    <w:rsid w:val="00B65F46"/>
    <w:rsid w:val="00B742C0"/>
    <w:rsid w:val="00B81C40"/>
    <w:rsid w:val="00B82C54"/>
    <w:rsid w:val="00B84670"/>
    <w:rsid w:val="00B93BA5"/>
    <w:rsid w:val="00BA74AF"/>
    <w:rsid w:val="00BB06D2"/>
    <w:rsid w:val="00BB09E2"/>
    <w:rsid w:val="00BB1992"/>
    <w:rsid w:val="00BB717A"/>
    <w:rsid w:val="00BC78B3"/>
    <w:rsid w:val="00BD0219"/>
    <w:rsid w:val="00BD45F2"/>
    <w:rsid w:val="00BD486B"/>
    <w:rsid w:val="00BD7BF4"/>
    <w:rsid w:val="00BE4323"/>
    <w:rsid w:val="00BF56D1"/>
    <w:rsid w:val="00BF6B60"/>
    <w:rsid w:val="00C01A98"/>
    <w:rsid w:val="00C0563C"/>
    <w:rsid w:val="00C10969"/>
    <w:rsid w:val="00C12F80"/>
    <w:rsid w:val="00C151DB"/>
    <w:rsid w:val="00C1583C"/>
    <w:rsid w:val="00C15C8D"/>
    <w:rsid w:val="00C17A91"/>
    <w:rsid w:val="00C21DF6"/>
    <w:rsid w:val="00C269C9"/>
    <w:rsid w:val="00C2713A"/>
    <w:rsid w:val="00C2778C"/>
    <w:rsid w:val="00C30E1B"/>
    <w:rsid w:val="00C31076"/>
    <w:rsid w:val="00C3113D"/>
    <w:rsid w:val="00C33611"/>
    <w:rsid w:val="00C403DE"/>
    <w:rsid w:val="00C4163F"/>
    <w:rsid w:val="00C5309B"/>
    <w:rsid w:val="00C53268"/>
    <w:rsid w:val="00C53632"/>
    <w:rsid w:val="00C55A73"/>
    <w:rsid w:val="00C65316"/>
    <w:rsid w:val="00C6646C"/>
    <w:rsid w:val="00C72A70"/>
    <w:rsid w:val="00C73B62"/>
    <w:rsid w:val="00C77206"/>
    <w:rsid w:val="00C87A32"/>
    <w:rsid w:val="00C97212"/>
    <w:rsid w:val="00CA1DC5"/>
    <w:rsid w:val="00CB2E00"/>
    <w:rsid w:val="00CC33C3"/>
    <w:rsid w:val="00CC521D"/>
    <w:rsid w:val="00CD4C88"/>
    <w:rsid w:val="00CE220E"/>
    <w:rsid w:val="00CE7825"/>
    <w:rsid w:val="00CF03F5"/>
    <w:rsid w:val="00CF1080"/>
    <w:rsid w:val="00CF241A"/>
    <w:rsid w:val="00CF30AD"/>
    <w:rsid w:val="00D05C67"/>
    <w:rsid w:val="00D06A93"/>
    <w:rsid w:val="00D106F2"/>
    <w:rsid w:val="00D14835"/>
    <w:rsid w:val="00D162F0"/>
    <w:rsid w:val="00D200CB"/>
    <w:rsid w:val="00D21462"/>
    <w:rsid w:val="00D23BA0"/>
    <w:rsid w:val="00D25283"/>
    <w:rsid w:val="00D32498"/>
    <w:rsid w:val="00D34834"/>
    <w:rsid w:val="00D417C2"/>
    <w:rsid w:val="00D446B7"/>
    <w:rsid w:val="00D44B33"/>
    <w:rsid w:val="00D44FE1"/>
    <w:rsid w:val="00D5131D"/>
    <w:rsid w:val="00D56547"/>
    <w:rsid w:val="00D625BA"/>
    <w:rsid w:val="00D62721"/>
    <w:rsid w:val="00D62EC9"/>
    <w:rsid w:val="00D63F36"/>
    <w:rsid w:val="00D65C2B"/>
    <w:rsid w:val="00D67211"/>
    <w:rsid w:val="00D720D2"/>
    <w:rsid w:val="00D7260A"/>
    <w:rsid w:val="00D74CB0"/>
    <w:rsid w:val="00D7624B"/>
    <w:rsid w:val="00D827C3"/>
    <w:rsid w:val="00D82D47"/>
    <w:rsid w:val="00D84992"/>
    <w:rsid w:val="00D90DCB"/>
    <w:rsid w:val="00D917B7"/>
    <w:rsid w:val="00D92239"/>
    <w:rsid w:val="00D93387"/>
    <w:rsid w:val="00D9434F"/>
    <w:rsid w:val="00DA1E88"/>
    <w:rsid w:val="00DA5493"/>
    <w:rsid w:val="00DA635C"/>
    <w:rsid w:val="00DB097A"/>
    <w:rsid w:val="00DB623A"/>
    <w:rsid w:val="00DC1D5F"/>
    <w:rsid w:val="00DC2545"/>
    <w:rsid w:val="00DC6DF4"/>
    <w:rsid w:val="00DD20B3"/>
    <w:rsid w:val="00DD3175"/>
    <w:rsid w:val="00DD7EDC"/>
    <w:rsid w:val="00DE213C"/>
    <w:rsid w:val="00DE7081"/>
    <w:rsid w:val="00DF020A"/>
    <w:rsid w:val="00DF3B08"/>
    <w:rsid w:val="00DF3E57"/>
    <w:rsid w:val="00DF531B"/>
    <w:rsid w:val="00DF5335"/>
    <w:rsid w:val="00DF65D1"/>
    <w:rsid w:val="00DF6A99"/>
    <w:rsid w:val="00E157DE"/>
    <w:rsid w:val="00E17E89"/>
    <w:rsid w:val="00E26F9E"/>
    <w:rsid w:val="00E454A7"/>
    <w:rsid w:val="00E51417"/>
    <w:rsid w:val="00E51B1E"/>
    <w:rsid w:val="00E52B4F"/>
    <w:rsid w:val="00E74A28"/>
    <w:rsid w:val="00E76F7F"/>
    <w:rsid w:val="00E82F17"/>
    <w:rsid w:val="00E94203"/>
    <w:rsid w:val="00EA2C34"/>
    <w:rsid w:val="00EA554E"/>
    <w:rsid w:val="00EB3373"/>
    <w:rsid w:val="00EC0B90"/>
    <w:rsid w:val="00EC3354"/>
    <w:rsid w:val="00EC6417"/>
    <w:rsid w:val="00ED03A0"/>
    <w:rsid w:val="00EE0280"/>
    <w:rsid w:val="00EE434F"/>
    <w:rsid w:val="00EE4E80"/>
    <w:rsid w:val="00EE6D0D"/>
    <w:rsid w:val="00EF5C9D"/>
    <w:rsid w:val="00EF6FC2"/>
    <w:rsid w:val="00F01E59"/>
    <w:rsid w:val="00F0644A"/>
    <w:rsid w:val="00F07E76"/>
    <w:rsid w:val="00F10A38"/>
    <w:rsid w:val="00F1580D"/>
    <w:rsid w:val="00F16319"/>
    <w:rsid w:val="00F16AAD"/>
    <w:rsid w:val="00F17A89"/>
    <w:rsid w:val="00F21364"/>
    <w:rsid w:val="00F22DC3"/>
    <w:rsid w:val="00F245D7"/>
    <w:rsid w:val="00F3131D"/>
    <w:rsid w:val="00F32DFE"/>
    <w:rsid w:val="00F35D9E"/>
    <w:rsid w:val="00F37F4E"/>
    <w:rsid w:val="00F416E0"/>
    <w:rsid w:val="00F4371B"/>
    <w:rsid w:val="00F534A8"/>
    <w:rsid w:val="00F55A1B"/>
    <w:rsid w:val="00F56E84"/>
    <w:rsid w:val="00F60447"/>
    <w:rsid w:val="00F64C9E"/>
    <w:rsid w:val="00F65A10"/>
    <w:rsid w:val="00F66AC7"/>
    <w:rsid w:val="00F70031"/>
    <w:rsid w:val="00F80385"/>
    <w:rsid w:val="00F81906"/>
    <w:rsid w:val="00F83B32"/>
    <w:rsid w:val="00F84C06"/>
    <w:rsid w:val="00F90EF6"/>
    <w:rsid w:val="00F93AF4"/>
    <w:rsid w:val="00F93C1F"/>
    <w:rsid w:val="00F95621"/>
    <w:rsid w:val="00FA155D"/>
    <w:rsid w:val="00FA369B"/>
    <w:rsid w:val="00FA6630"/>
    <w:rsid w:val="00FC0306"/>
    <w:rsid w:val="00FD01F9"/>
    <w:rsid w:val="00FE1A7B"/>
    <w:rsid w:val="00FE3BCD"/>
    <w:rsid w:val="00FE4ACA"/>
    <w:rsid w:val="00FE5F62"/>
    <w:rsid w:val="00FF3AFC"/>
    <w:rsid w:val="00FF42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8E309"/>
  <w15:docId w15:val="{C28E99AC-23B9-43D2-B96D-7D7FA9D8E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5A6A"/>
  </w:style>
  <w:style w:type="paragraph" w:styleId="Nagwek1">
    <w:name w:val="heading 1"/>
    <w:basedOn w:val="Normalny"/>
    <w:next w:val="Normalny"/>
    <w:link w:val="Nagwek1Znak"/>
    <w:uiPriority w:val="9"/>
    <w:qFormat/>
    <w:rsid w:val="000619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0619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06198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06198A"/>
    <w:rPr>
      <w:rFonts w:asciiTheme="majorHAnsi" w:eastAsiaTheme="majorEastAsia" w:hAnsiTheme="majorHAnsi" w:cstheme="majorBidi"/>
      <w:color w:val="17365D" w:themeColor="text2" w:themeShade="BF"/>
      <w:spacing w:val="5"/>
      <w:kern w:val="28"/>
      <w:sz w:val="52"/>
      <w:szCs w:val="52"/>
    </w:rPr>
  </w:style>
  <w:style w:type="character" w:customStyle="1" w:styleId="Nagwek1Znak">
    <w:name w:val="Nagłówek 1 Znak"/>
    <w:basedOn w:val="Domylnaczcionkaakapitu"/>
    <w:link w:val="Nagwek1"/>
    <w:uiPriority w:val="9"/>
    <w:rsid w:val="0006198A"/>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06198A"/>
    <w:rPr>
      <w:rFonts w:asciiTheme="majorHAnsi" w:eastAsiaTheme="majorEastAsia" w:hAnsiTheme="majorHAnsi" w:cstheme="majorBidi"/>
      <w:b/>
      <w:bCs/>
      <w:color w:val="4F81BD" w:themeColor="accent1"/>
      <w:sz w:val="26"/>
      <w:szCs w:val="26"/>
    </w:rPr>
  </w:style>
  <w:style w:type="character" w:styleId="Odwoaniedokomentarza">
    <w:name w:val="annotation reference"/>
    <w:basedOn w:val="Domylnaczcionkaakapitu"/>
    <w:uiPriority w:val="99"/>
    <w:rsid w:val="0006198A"/>
    <w:rPr>
      <w:sz w:val="16"/>
      <w:szCs w:val="16"/>
    </w:rPr>
  </w:style>
  <w:style w:type="paragraph" w:styleId="Tekstkomentarza">
    <w:name w:val="annotation text"/>
    <w:basedOn w:val="Normalny"/>
    <w:link w:val="TekstkomentarzaZnak"/>
    <w:uiPriority w:val="99"/>
    <w:rsid w:val="0006198A"/>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06198A"/>
    <w:rPr>
      <w:rFonts w:ascii="Times" w:eastAsia="Times New Roman" w:hAnsi="Times" w:cs="Times New Roman"/>
      <w:sz w:val="24"/>
      <w:szCs w:val="24"/>
      <w:lang w:eastAsia="pl-PL"/>
    </w:rPr>
  </w:style>
  <w:style w:type="paragraph" w:styleId="Tekstdymka">
    <w:name w:val="Balloon Text"/>
    <w:basedOn w:val="Normalny"/>
    <w:link w:val="TekstdymkaZnak"/>
    <w:uiPriority w:val="99"/>
    <w:semiHidden/>
    <w:unhideWhenUsed/>
    <w:rsid w:val="000619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6198A"/>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06198A"/>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06198A"/>
    <w:rPr>
      <w:rFonts w:ascii="Times" w:eastAsia="Times New Roman" w:hAnsi="Times" w:cs="Times New Roman"/>
      <w:b/>
      <w:bCs/>
      <w:sz w:val="20"/>
      <w:szCs w:val="20"/>
      <w:lang w:eastAsia="pl-PL"/>
    </w:rPr>
  </w:style>
  <w:style w:type="paragraph" w:styleId="Nagwekspisutreci">
    <w:name w:val="TOC Heading"/>
    <w:basedOn w:val="Nagwek1"/>
    <w:next w:val="Normalny"/>
    <w:uiPriority w:val="39"/>
    <w:semiHidden/>
    <w:unhideWhenUsed/>
    <w:qFormat/>
    <w:rsid w:val="001914A6"/>
    <w:pPr>
      <w:outlineLvl w:val="9"/>
    </w:pPr>
    <w:rPr>
      <w:lang w:eastAsia="pl-PL"/>
    </w:rPr>
  </w:style>
  <w:style w:type="paragraph" w:styleId="Spistreci1">
    <w:name w:val="toc 1"/>
    <w:basedOn w:val="Normalny"/>
    <w:next w:val="Normalny"/>
    <w:autoRedefine/>
    <w:uiPriority w:val="39"/>
    <w:unhideWhenUsed/>
    <w:rsid w:val="000B7DCD"/>
    <w:pPr>
      <w:tabs>
        <w:tab w:val="right" w:leader="dot" w:pos="9062"/>
      </w:tabs>
      <w:spacing w:after="100"/>
    </w:pPr>
  </w:style>
  <w:style w:type="paragraph" w:styleId="Spistreci2">
    <w:name w:val="toc 2"/>
    <w:basedOn w:val="Normalny"/>
    <w:next w:val="Normalny"/>
    <w:autoRedefine/>
    <w:uiPriority w:val="39"/>
    <w:unhideWhenUsed/>
    <w:rsid w:val="006A6CFC"/>
    <w:pPr>
      <w:tabs>
        <w:tab w:val="right" w:leader="dot" w:pos="9062"/>
      </w:tabs>
      <w:spacing w:after="100"/>
    </w:pPr>
  </w:style>
  <w:style w:type="character" w:styleId="Hipercze">
    <w:name w:val="Hyperlink"/>
    <w:basedOn w:val="Domylnaczcionkaakapitu"/>
    <w:uiPriority w:val="99"/>
    <w:unhideWhenUsed/>
    <w:rsid w:val="001914A6"/>
    <w:rPr>
      <w:color w:val="0000FF" w:themeColor="hyperlink"/>
      <w:u w:val="single"/>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A_wyliczenie,L1"/>
    <w:basedOn w:val="Normalny"/>
    <w:link w:val="AkapitzlistZnak"/>
    <w:uiPriority w:val="34"/>
    <w:qFormat/>
    <w:rsid w:val="00816613"/>
    <w:pPr>
      <w:ind w:left="720"/>
      <w:contextualSpacing/>
    </w:pPr>
  </w:style>
  <w:style w:type="character" w:customStyle="1" w:styleId="highlight">
    <w:name w:val="highlight"/>
    <w:basedOn w:val="Domylnaczcionkaakapitu"/>
    <w:rsid w:val="00821D42"/>
  </w:style>
  <w:style w:type="character" w:customStyle="1" w:styleId="cf01">
    <w:name w:val="cf01"/>
    <w:basedOn w:val="Domylnaczcionkaakapitu"/>
    <w:rsid w:val="00C10969"/>
    <w:rPr>
      <w:rFonts w:ascii="Segoe UI" w:hAnsi="Segoe UI" w:cs="Segoe UI" w:hint="default"/>
      <w:sz w:val="18"/>
      <w:szCs w:val="18"/>
    </w:rPr>
  </w:style>
  <w:style w:type="paragraph" w:customStyle="1" w:styleId="NIEARTTEKSTtekstnieartykuowanynppodstprawnarozplubpreambua">
    <w:name w:val="NIEART_TEKST – tekst nieartykułowany (np. podst. prawna rozp. lub preambuła)"/>
    <w:basedOn w:val="Normalny"/>
    <w:next w:val="Normalny"/>
    <w:uiPriority w:val="7"/>
    <w:qFormat/>
    <w:rsid w:val="0064305F"/>
    <w:pPr>
      <w:suppressAutoHyphens/>
      <w:autoSpaceDE w:val="0"/>
      <w:autoSpaceDN w:val="0"/>
      <w:adjustRightInd w:val="0"/>
      <w:spacing w:before="120" w:after="0" w:line="360" w:lineRule="auto"/>
      <w:ind w:firstLine="510"/>
      <w:jc w:val="both"/>
    </w:pPr>
    <w:rPr>
      <w:rFonts w:ascii="Times" w:eastAsiaTheme="minorEastAsia" w:hAnsi="Times" w:cs="Arial"/>
      <w:bCs/>
      <w:sz w:val="24"/>
      <w:szCs w:val="20"/>
      <w:lang w:eastAsia="pl-PL"/>
    </w:rPr>
  </w:style>
  <w:style w:type="paragraph" w:customStyle="1" w:styleId="Default">
    <w:name w:val="Default"/>
    <w:rsid w:val="00C269C9"/>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9F47C1"/>
    <w:rPr>
      <w:b/>
      <w:bCs/>
    </w:rPr>
  </w:style>
  <w:style w:type="character" w:customStyle="1" w:styleId="IGindeksgrny">
    <w:name w:val="_IG_ – indeks górny"/>
    <w:basedOn w:val="Domylnaczcionkaakapitu"/>
    <w:uiPriority w:val="2"/>
    <w:qFormat/>
    <w:rsid w:val="00492E65"/>
    <w:rPr>
      <w:b w:val="0"/>
      <w:bCs w:val="0"/>
      <w:i w:val="0"/>
      <w:iCs w:val="0"/>
      <w:vanish w:val="0"/>
      <w:webHidden w:val="0"/>
      <w:spacing w:val="0"/>
      <w:vertAlign w:val="superscript"/>
      <w:specVanish w:val="0"/>
    </w:rPr>
  </w:style>
  <w:style w:type="character" w:customStyle="1" w:styleId="Ppogrubienie">
    <w:name w:val="_P_ – pogrubienie"/>
    <w:basedOn w:val="Domylnaczcionkaakapitu"/>
    <w:uiPriority w:val="1"/>
    <w:qFormat/>
    <w:rsid w:val="00492E65"/>
    <w:rPr>
      <w:b/>
      <w:bCs w:val="0"/>
    </w:rPr>
  </w:style>
  <w:style w:type="paragraph" w:customStyle="1" w:styleId="ARTartustawynprozporzdzenia">
    <w:name w:val="ART(§) – art. ustawy (§ np. rozporządzenia)"/>
    <w:uiPriority w:val="11"/>
    <w:qFormat/>
    <w:rsid w:val="0070590F"/>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link w:val="Akapitzlist"/>
    <w:uiPriority w:val="34"/>
    <w:qFormat/>
    <w:locked/>
    <w:rsid w:val="00D625BA"/>
  </w:style>
  <w:style w:type="character" w:customStyle="1" w:styleId="markedcontent">
    <w:name w:val="markedcontent"/>
    <w:basedOn w:val="Domylnaczcionkaakapitu"/>
    <w:rsid w:val="00CD4C88"/>
  </w:style>
  <w:style w:type="paragraph" w:styleId="Tekstprzypisudolnego">
    <w:name w:val="footnote text"/>
    <w:basedOn w:val="Normalny"/>
    <w:link w:val="TekstprzypisudolnegoZnak"/>
    <w:uiPriority w:val="99"/>
    <w:unhideWhenUsed/>
    <w:qFormat/>
    <w:rsid w:val="00E76F7F"/>
    <w:pPr>
      <w:spacing w:after="160" w:line="259"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E76F7F"/>
    <w:rPr>
      <w:rFonts w:ascii="Calibri" w:eastAsia="Calibri" w:hAnsi="Calibri" w:cs="Times New Roman"/>
      <w:sz w:val="20"/>
      <w:szCs w:val="20"/>
    </w:rPr>
  </w:style>
  <w:style w:type="character" w:styleId="Odwoanieprzypisudolnego">
    <w:name w:val="footnote reference"/>
    <w:uiPriority w:val="99"/>
    <w:semiHidden/>
    <w:unhideWhenUsed/>
    <w:rsid w:val="00E76F7F"/>
    <w:rPr>
      <w:vertAlign w:val="superscript"/>
    </w:rPr>
  </w:style>
  <w:style w:type="character" w:styleId="Uwydatnienie">
    <w:name w:val="Emphasis"/>
    <w:uiPriority w:val="20"/>
    <w:qFormat/>
    <w:rsid w:val="00E76F7F"/>
    <w:rPr>
      <w:i/>
      <w:iCs/>
    </w:rPr>
  </w:style>
  <w:style w:type="character" w:customStyle="1" w:styleId="PKpogrubieniekursywa">
    <w:name w:val="_P_K_ – pogrubienie kursywa"/>
    <w:basedOn w:val="Domylnaczcionkaakapitu"/>
    <w:uiPriority w:val="1"/>
    <w:qFormat/>
    <w:rsid w:val="00D56547"/>
    <w:rPr>
      <w:b/>
      <w:i/>
    </w:rPr>
  </w:style>
  <w:style w:type="paragraph" w:customStyle="1" w:styleId="ZPKTzmpktartykuempunktem">
    <w:name w:val="Z/PKT – zm. pkt artykułem (punktem)"/>
    <w:basedOn w:val="Normalny"/>
    <w:uiPriority w:val="31"/>
    <w:qFormat/>
    <w:rsid w:val="00FA155D"/>
    <w:pPr>
      <w:spacing w:after="0" w:line="360" w:lineRule="auto"/>
      <w:ind w:left="102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964C55"/>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BasicParagraph">
    <w:name w:val="[Basic Paragraph]"/>
    <w:basedOn w:val="Normalny"/>
    <w:uiPriority w:val="99"/>
    <w:rsid w:val="00E74A28"/>
    <w:pPr>
      <w:autoSpaceDE w:val="0"/>
      <w:autoSpaceDN w:val="0"/>
      <w:adjustRightInd w:val="0"/>
      <w:spacing w:after="0" w:line="288" w:lineRule="auto"/>
      <w:textAlignment w:val="center"/>
    </w:pPr>
    <w:rPr>
      <w:rFonts w:ascii="Calibri" w:eastAsia="Times New Roman" w:hAnsi="Calibri" w:cs="Calibri"/>
      <w:color w:val="000000"/>
      <w:sz w:val="24"/>
      <w:szCs w:val="24"/>
      <w:lang w:val="en-GB"/>
    </w:rPr>
  </w:style>
  <w:style w:type="paragraph" w:customStyle="1" w:styleId="pf0">
    <w:name w:val="pf0"/>
    <w:basedOn w:val="Normalny"/>
    <w:rsid w:val="00B65F4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B65F4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LITUSTzmustliter">
    <w:name w:val="Z_LIT/UST(§) – zm. ust. (§) literą"/>
    <w:basedOn w:val="Normalny"/>
    <w:uiPriority w:val="46"/>
    <w:qFormat/>
    <w:rsid w:val="004761CA"/>
    <w:pPr>
      <w:suppressAutoHyphens/>
      <w:autoSpaceDE w:val="0"/>
      <w:autoSpaceDN w:val="0"/>
      <w:adjustRightInd w:val="0"/>
      <w:spacing w:after="0" w:line="360" w:lineRule="auto"/>
      <w:ind w:left="987" w:firstLine="510"/>
      <w:jc w:val="both"/>
    </w:pPr>
    <w:rPr>
      <w:rFonts w:ascii="Times" w:eastAsiaTheme="minorEastAsia" w:hAnsi="Times" w:cs="Arial"/>
      <w:bCs/>
      <w:sz w:val="24"/>
      <w:szCs w:val="20"/>
      <w:lang w:eastAsia="pl-PL"/>
    </w:rPr>
  </w:style>
  <w:style w:type="paragraph" w:customStyle="1" w:styleId="USTustnpkodeksu">
    <w:name w:val="UST(§) – ust. (§ np. kodeksu)"/>
    <w:basedOn w:val="ARTartustawynprozporzdzenia"/>
    <w:uiPriority w:val="12"/>
    <w:qFormat/>
    <w:rsid w:val="00F66AC7"/>
    <w:pPr>
      <w:spacing w:before="0"/>
    </w:pPr>
    <w:rPr>
      <w:bCs/>
    </w:rPr>
  </w:style>
  <w:style w:type="table" w:styleId="Tabela-Siatka">
    <w:name w:val="Table Grid"/>
    <w:basedOn w:val="Standardowy"/>
    <w:uiPriority w:val="39"/>
    <w:rsid w:val="00F70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NONIKtreodnonika">
    <w:name w:val="ODNOŚNIK – treść odnośnika"/>
    <w:uiPriority w:val="19"/>
    <w:qFormat/>
    <w:rsid w:val="002466F1"/>
    <w:pPr>
      <w:spacing w:after="0" w:line="240" w:lineRule="auto"/>
      <w:ind w:left="284" w:hanging="284"/>
      <w:jc w:val="both"/>
    </w:pPr>
    <w:rPr>
      <w:rFonts w:ascii="Times New Roman" w:eastAsiaTheme="minorEastAsia" w:hAnsi="Times New Roman" w:cs="Arial"/>
      <w:sz w:val="20"/>
      <w:szCs w:val="20"/>
      <w:lang w:eastAsia="pl-PL"/>
    </w:rPr>
  </w:style>
  <w:style w:type="character" w:styleId="Wyrnienieintensywne">
    <w:name w:val="Intense Emphasis"/>
    <w:basedOn w:val="Domylnaczcionkaakapitu"/>
    <w:uiPriority w:val="21"/>
    <w:qFormat/>
    <w:rsid w:val="00816D80"/>
    <w:rPr>
      <w:i/>
      <w:iCs/>
      <w:color w:val="4F81BD" w:themeColor="accent1"/>
    </w:rPr>
  </w:style>
  <w:style w:type="character" w:styleId="Numerwiersza">
    <w:name w:val="line number"/>
    <w:basedOn w:val="Domylnaczcionkaakapitu"/>
    <w:uiPriority w:val="99"/>
    <w:semiHidden/>
    <w:unhideWhenUsed/>
    <w:rsid w:val="00881426"/>
  </w:style>
  <w:style w:type="paragraph" w:styleId="Nagwek">
    <w:name w:val="header"/>
    <w:basedOn w:val="Normalny"/>
    <w:link w:val="NagwekZnak"/>
    <w:uiPriority w:val="99"/>
    <w:unhideWhenUsed/>
    <w:rsid w:val="008814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1426"/>
  </w:style>
  <w:style w:type="paragraph" w:styleId="Stopka">
    <w:name w:val="footer"/>
    <w:basedOn w:val="Normalny"/>
    <w:link w:val="StopkaZnak"/>
    <w:uiPriority w:val="99"/>
    <w:unhideWhenUsed/>
    <w:rsid w:val="008814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1426"/>
  </w:style>
  <w:style w:type="paragraph" w:styleId="Poprawka">
    <w:name w:val="Revision"/>
    <w:hidden/>
    <w:uiPriority w:val="99"/>
    <w:semiHidden/>
    <w:rsid w:val="004231E8"/>
    <w:pPr>
      <w:spacing w:after="0" w:line="240" w:lineRule="auto"/>
    </w:pPr>
  </w:style>
  <w:style w:type="character" w:customStyle="1" w:styleId="cf11">
    <w:name w:val="cf11"/>
    <w:basedOn w:val="Domylnaczcionkaakapitu"/>
    <w:rsid w:val="004231E8"/>
    <w:rPr>
      <w:rFonts w:ascii="Segoe UI" w:hAnsi="Segoe UI" w:cs="Segoe UI" w:hint="default"/>
      <w:b/>
      <w:bCs/>
      <w:i/>
      <w:iCs/>
      <w:sz w:val="18"/>
      <w:szCs w:val="18"/>
    </w:rPr>
  </w:style>
  <w:style w:type="paragraph" w:customStyle="1" w:styleId="PKTpunkt">
    <w:name w:val="PKT – punkt"/>
    <w:uiPriority w:val="13"/>
    <w:qFormat/>
    <w:rsid w:val="002B66D1"/>
    <w:pPr>
      <w:spacing w:after="0" w:line="360" w:lineRule="auto"/>
      <w:ind w:left="510" w:hanging="510"/>
      <w:jc w:val="both"/>
    </w:pPr>
    <w:rPr>
      <w:rFonts w:ascii="Times" w:eastAsiaTheme="minorEastAsia" w:hAnsi="Times" w:cs="Arial"/>
      <w:bCs/>
      <w:sz w:val="24"/>
      <w:szCs w:val="20"/>
      <w:lang w:eastAsia="pl-PL"/>
    </w:rPr>
  </w:style>
  <w:style w:type="character" w:customStyle="1" w:styleId="IGKindeksgrnyikursywa">
    <w:name w:val="_IG_K_ – indeks górny i kursywa"/>
    <w:basedOn w:val="Domylnaczcionkaakapitu"/>
    <w:uiPriority w:val="2"/>
    <w:qFormat/>
    <w:rsid w:val="0090782A"/>
    <w:rPr>
      <w:i/>
      <w:vanish w:val="0"/>
      <w:spacing w:val="0"/>
      <w:vertAlign w:val="superscript"/>
    </w:rPr>
  </w:style>
  <w:style w:type="paragraph" w:styleId="Bezodstpw">
    <w:name w:val="No Spacing"/>
    <w:uiPriority w:val="1"/>
    <w:qFormat/>
    <w:rsid w:val="00D34834"/>
    <w:pPr>
      <w:spacing w:after="0" w:line="240" w:lineRule="auto"/>
    </w:pPr>
  </w:style>
  <w:style w:type="paragraph" w:customStyle="1" w:styleId="ZTIRPKTzmpkttiret">
    <w:name w:val="Z_TIR/PKT – zm. pkt tiret"/>
    <w:basedOn w:val="Normalny"/>
    <w:uiPriority w:val="56"/>
    <w:rsid w:val="00C53268"/>
    <w:pPr>
      <w:spacing w:after="0" w:line="360" w:lineRule="auto"/>
      <w:ind w:left="1893" w:hanging="510"/>
      <w:jc w:val="both"/>
    </w:pPr>
    <w:rPr>
      <w:rFonts w:ascii="Times" w:hAnsi="Times" w:cs="Calibri"/>
      <w:sz w:val="24"/>
      <w:szCs w:val="24"/>
      <w:lang w:eastAsia="pl-PL"/>
    </w:rPr>
  </w:style>
  <w:style w:type="paragraph" w:styleId="Tekstprzypisukocowego">
    <w:name w:val="endnote text"/>
    <w:basedOn w:val="Normalny"/>
    <w:link w:val="TekstprzypisukocowegoZnak"/>
    <w:uiPriority w:val="99"/>
    <w:semiHidden/>
    <w:unhideWhenUsed/>
    <w:rsid w:val="001509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096C"/>
    <w:rPr>
      <w:sz w:val="20"/>
      <w:szCs w:val="20"/>
    </w:rPr>
  </w:style>
  <w:style w:type="character" w:styleId="Odwoanieprzypisukocowego">
    <w:name w:val="endnote reference"/>
    <w:basedOn w:val="Domylnaczcionkaakapitu"/>
    <w:uiPriority w:val="99"/>
    <w:semiHidden/>
    <w:unhideWhenUsed/>
    <w:rsid w:val="0015096C"/>
    <w:rPr>
      <w:vertAlign w:val="superscript"/>
    </w:rPr>
  </w:style>
  <w:style w:type="paragraph" w:styleId="Tekstpodstawowy">
    <w:name w:val="Body Text"/>
    <w:basedOn w:val="Normalny"/>
    <w:link w:val="TekstpodstawowyZnak"/>
    <w:uiPriority w:val="99"/>
    <w:unhideWhenUsed/>
    <w:rsid w:val="008713DC"/>
    <w:pPr>
      <w:spacing w:after="0" w:line="312" w:lineRule="auto"/>
      <w:jc w:val="both"/>
    </w:pPr>
    <w:rPr>
      <w:rFonts w:ascii="Verdana" w:eastAsia="Times New Roman" w:hAnsi="Verdana" w:cs="Calibri"/>
      <w:sz w:val="28"/>
      <w:szCs w:val="28"/>
      <w:lang w:eastAsia="pl-PL"/>
    </w:rPr>
  </w:style>
  <w:style w:type="character" w:customStyle="1" w:styleId="TekstpodstawowyZnak">
    <w:name w:val="Tekst podstawowy Znak"/>
    <w:basedOn w:val="Domylnaczcionkaakapitu"/>
    <w:link w:val="Tekstpodstawowy"/>
    <w:uiPriority w:val="99"/>
    <w:rsid w:val="008713DC"/>
    <w:rPr>
      <w:rFonts w:ascii="Verdana" w:eastAsia="Times New Roman" w:hAnsi="Verdana" w:cs="Calibri"/>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02507">
      <w:bodyDiv w:val="1"/>
      <w:marLeft w:val="0"/>
      <w:marRight w:val="0"/>
      <w:marTop w:val="0"/>
      <w:marBottom w:val="0"/>
      <w:divBdr>
        <w:top w:val="none" w:sz="0" w:space="0" w:color="auto"/>
        <w:left w:val="none" w:sz="0" w:space="0" w:color="auto"/>
        <w:bottom w:val="none" w:sz="0" w:space="0" w:color="auto"/>
        <w:right w:val="none" w:sz="0" w:space="0" w:color="auto"/>
      </w:divBdr>
    </w:div>
    <w:div w:id="289286650">
      <w:bodyDiv w:val="1"/>
      <w:marLeft w:val="0"/>
      <w:marRight w:val="0"/>
      <w:marTop w:val="0"/>
      <w:marBottom w:val="0"/>
      <w:divBdr>
        <w:top w:val="none" w:sz="0" w:space="0" w:color="auto"/>
        <w:left w:val="none" w:sz="0" w:space="0" w:color="auto"/>
        <w:bottom w:val="none" w:sz="0" w:space="0" w:color="auto"/>
        <w:right w:val="none" w:sz="0" w:space="0" w:color="auto"/>
      </w:divBdr>
    </w:div>
    <w:div w:id="360014160">
      <w:bodyDiv w:val="1"/>
      <w:marLeft w:val="0"/>
      <w:marRight w:val="0"/>
      <w:marTop w:val="0"/>
      <w:marBottom w:val="0"/>
      <w:divBdr>
        <w:top w:val="none" w:sz="0" w:space="0" w:color="auto"/>
        <w:left w:val="none" w:sz="0" w:space="0" w:color="auto"/>
        <w:bottom w:val="none" w:sz="0" w:space="0" w:color="auto"/>
        <w:right w:val="none" w:sz="0" w:space="0" w:color="auto"/>
      </w:divBdr>
    </w:div>
    <w:div w:id="376470278">
      <w:bodyDiv w:val="1"/>
      <w:marLeft w:val="0"/>
      <w:marRight w:val="0"/>
      <w:marTop w:val="0"/>
      <w:marBottom w:val="0"/>
      <w:divBdr>
        <w:top w:val="none" w:sz="0" w:space="0" w:color="auto"/>
        <w:left w:val="none" w:sz="0" w:space="0" w:color="auto"/>
        <w:bottom w:val="none" w:sz="0" w:space="0" w:color="auto"/>
        <w:right w:val="none" w:sz="0" w:space="0" w:color="auto"/>
      </w:divBdr>
    </w:div>
    <w:div w:id="456683219">
      <w:bodyDiv w:val="1"/>
      <w:marLeft w:val="0"/>
      <w:marRight w:val="0"/>
      <w:marTop w:val="0"/>
      <w:marBottom w:val="0"/>
      <w:divBdr>
        <w:top w:val="none" w:sz="0" w:space="0" w:color="auto"/>
        <w:left w:val="none" w:sz="0" w:space="0" w:color="auto"/>
        <w:bottom w:val="none" w:sz="0" w:space="0" w:color="auto"/>
        <w:right w:val="none" w:sz="0" w:space="0" w:color="auto"/>
      </w:divBdr>
    </w:div>
    <w:div w:id="515506181">
      <w:bodyDiv w:val="1"/>
      <w:marLeft w:val="0"/>
      <w:marRight w:val="0"/>
      <w:marTop w:val="0"/>
      <w:marBottom w:val="0"/>
      <w:divBdr>
        <w:top w:val="none" w:sz="0" w:space="0" w:color="auto"/>
        <w:left w:val="none" w:sz="0" w:space="0" w:color="auto"/>
        <w:bottom w:val="none" w:sz="0" w:space="0" w:color="auto"/>
        <w:right w:val="none" w:sz="0" w:space="0" w:color="auto"/>
      </w:divBdr>
    </w:div>
    <w:div w:id="584531350">
      <w:bodyDiv w:val="1"/>
      <w:marLeft w:val="0"/>
      <w:marRight w:val="0"/>
      <w:marTop w:val="0"/>
      <w:marBottom w:val="0"/>
      <w:divBdr>
        <w:top w:val="none" w:sz="0" w:space="0" w:color="auto"/>
        <w:left w:val="none" w:sz="0" w:space="0" w:color="auto"/>
        <w:bottom w:val="none" w:sz="0" w:space="0" w:color="auto"/>
        <w:right w:val="none" w:sz="0" w:space="0" w:color="auto"/>
      </w:divBdr>
    </w:div>
    <w:div w:id="600769594">
      <w:bodyDiv w:val="1"/>
      <w:marLeft w:val="0"/>
      <w:marRight w:val="0"/>
      <w:marTop w:val="0"/>
      <w:marBottom w:val="0"/>
      <w:divBdr>
        <w:top w:val="none" w:sz="0" w:space="0" w:color="auto"/>
        <w:left w:val="none" w:sz="0" w:space="0" w:color="auto"/>
        <w:bottom w:val="none" w:sz="0" w:space="0" w:color="auto"/>
        <w:right w:val="none" w:sz="0" w:space="0" w:color="auto"/>
      </w:divBdr>
    </w:div>
    <w:div w:id="662440588">
      <w:bodyDiv w:val="1"/>
      <w:marLeft w:val="0"/>
      <w:marRight w:val="0"/>
      <w:marTop w:val="0"/>
      <w:marBottom w:val="0"/>
      <w:divBdr>
        <w:top w:val="none" w:sz="0" w:space="0" w:color="auto"/>
        <w:left w:val="none" w:sz="0" w:space="0" w:color="auto"/>
        <w:bottom w:val="none" w:sz="0" w:space="0" w:color="auto"/>
        <w:right w:val="none" w:sz="0" w:space="0" w:color="auto"/>
      </w:divBdr>
    </w:div>
    <w:div w:id="669600301">
      <w:bodyDiv w:val="1"/>
      <w:marLeft w:val="0"/>
      <w:marRight w:val="0"/>
      <w:marTop w:val="0"/>
      <w:marBottom w:val="0"/>
      <w:divBdr>
        <w:top w:val="none" w:sz="0" w:space="0" w:color="auto"/>
        <w:left w:val="none" w:sz="0" w:space="0" w:color="auto"/>
        <w:bottom w:val="none" w:sz="0" w:space="0" w:color="auto"/>
        <w:right w:val="none" w:sz="0" w:space="0" w:color="auto"/>
      </w:divBdr>
    </w:div>
    <w:div w:id="672800353">
      <w:bodyDiv w:val="1"/>
      <w:marLeft w:val="0"/>
      <w:marRight w:val="0"/>
      <w:marTop w:val="0"/>
      <w:marBottom w:val="0"/>
      <w:divBdr>
        <w:top w:val="none" w:sz="0" w:space="0" w:color="auto"/>
        <w:left w:val="none" w:sz="0" w:space="0" w:color="auto"/>
        <w:bottom w:val="none" w:sz="0" w:space="0" w:color="auto"/>
        <w:right w:val="none" w:sz="0" w:space="0" w:color="auto"/>
      </w:divBdr>
    </w:div>
    <w:div w:id="750543912">
      <w:bodyDiv w:val="1"/>
      <w:marLeft w:val="0"/>
      <w:marRight w:val="0"/>
      <w:marTop w:val="0"/>
      <w:marBottom w:val="0"/>
      <w:divBdr>
        <w:top w:val="none" w:sz="0" w:space="0" w:color="auto"/>
        <w:left w:val="none" w:sz="0" w:space="0" w:color="auto"/>
        <w:bottom w:val="none" w:sz="0" w:space="0" w:color="auto"/>
        <w:right w:val="none" w:sz="0" w:space="0" w:color="auto"/>
      </w:divBdr>
    </w:div>
    <w:div w:id="813260080">
      <w:bodyDiv w:val="1"/>
      <w:marLeft w:val="0"/>
      <w:marRight w:val="0"/>
      <w:marTop w:val="0"/>
      <w:marBottom w:val="0"/>
      <w:divBdr>
        <w:top w:val="none" w:sz="0" w:space="0" w:color="auto"/>
        <w:left w:val="none" w:sz="0" w:space="0" w:color="auto"/>
        <w:bottom w:val="none" w:sz="0" w:space="0" w:color="auto"/>
        <w:right w:val="none" w:sz="0" w:space="0" w:color="auto"/>
      </w:divBdr>
    </w:div>
    <w:div w:id="887760518">
      <w:bodyDiv w:val="1"/>
      <w:marLeft w:val="0"/>
      <w:marRight w:val="0"/>
      <w:marTop w:val="0"/>
      <w:marBottom w:val="0"/>
      <w:divBdr>
        <w:top w:val="none" w:sz="0" w:space="0" w:color="auto"/>
        <w:left w:val="none" w:sz="0" w:space="0" w:color="auto"/>
        <w:bottom w:val="none" w:sz="0" w:space="0" w:color="auto"/>
        <w:right w:val="none" w:sz="0" w:space="0" w:color="auto"/>
      </w:divBdr>
      <w:divsChild>
        <w:div w:id="815074750">
          <w:marLeft w:val="0"/>
          <w:marRight w:val="0"/>
          <w:marTop w:val="0"/>
          <w:marBottom w:val="0"/>
          <w:divBdr>
            <w:top w:val="none" w:sz="0" w:space="0" w:color="auto"/>
            <w:left w:val="none" w:sz="0" w:space="0" w:color="auto"/>
            <w:bottom w:val="none" w:sz="0" w:space="0" w:color="auto"/>
            <w:right w:val="none" w:sz="0" w:space="0" w:color="auto"/>
          </w:divBdr>
        </w:div>
      </w:divsChild>
    </w:div>
    <w:div w:id="904948545">
      <w:bodyDiv w:val="1"/>
      <w:marLeft w:val="0"/>
      <w:marRight w:val="0"/>
      <w:marTop w:val="0"/>
      <w:marBottom w:val="0"/>
      <w:divBdr>
        <w:top w:val="none" w:sz="0" w:space="0" w:color="auto"/>
        <w:left w:val="none" w:sz="0" w:space="0" w:color="auto"/>
        <w:bottom w:val="none" w:sz="0" w:space="0" w:color="auto"/>
        <w:right w:val="none" w:sz="0" w:space="0" w:color="auto"/>
      </w:divBdr>
    </w:div>
    <w:div w:id="958756585">
      <w:bodyDiv w:val="1"/>
      <w:marLeft w:val="0"/>
      <w:marRight w:val="0"/>
      <w:marTop w:val="0"/>
      <w:marBottom w:val="0"/>
      <w:divBdr>
        <w:top w:val="none" w:sz="0" w:space="0" w:color="auto"/>
        <w:left w:val="none" w:sz="0" w:space="0" w:color="auto"/>
        <w:bottom w:val="none" w:sz="0" w:space="0" w:color="auto"/>
        <w:right w:val="none" w:sz="0" w:space="0" w:color="auto"/>
      </w:divBdr>
    </w:div>
    <w:div w:id="1019507914">
      <w:bodyDiv w:val="1"/>
      <w:marLeft w:val="0"/>
      <w:marRight w:val="0"/>
      <w:marTop w:val="0"/>
      <w:marBottom w:val="0"/>
      <w:divBdr>
        <w:top w:val="none" w:sz="0" w:space="0" w:color="auto"/>
        <w:left w:val="none" w:sz="0" w:space="0" w:color="auto"/>
        <w:bottom w:val="none" w:sz="0" w:space="0" w:color="auto"/>
        <w:right w:val="none" w:sz="0" w:space="0" w:color="auto"/>
      </w:divBdr>
    </w:div>
    <w:div w:id="1021930772">
      <w:bodyDiv w:val="1"/>
      <w:marLeft w:val="0"/>
      <w:marRight w:val="0"/>
      <w:marTop w:val="0"/>
      <w:marBottom w:val="0"/>
      <w:divBdr>
        <w:top w:val="none" w:sz="0" w:space="0" w:color="auto"/>
        <w:left w:val="none" w:sz="0" w:space="0" w:color="auto"/>
        <w:bottom w:val="none" w:sz="0" w:space="0" w:color="auto"/>
        <w:right w:val="none" w:sz="0" w:space="0" w:color="auto"/>
      </w:divBdr>
    </w:div>
    <w:div w:id="1030843193">
      <w:bodyDiv w:val="1"/>
      <w:marLeft w:val="0"/>
      <w:marRight w:val="0"/>
      <w:marTop w:val="0"/>
      <w:marBottom w:val="0"/>
      <w:divBdr>
        <w:top w:val="none" w:sz="0" w:space="0" w:color="auto"/>
        <w:left w:val="none" w:sz="0" w:space="0" w:color="auto"/>
        <w:bottom w:val="none" w:sz="0" w:space="0" w:color="auto"/>
        <w:right w:val="none" w:sz="0" w:space="0" w:color="auto"/>
      </w:divBdr>
    </w:div>
    <w:div w:id="1058436405">
      <w:bodyDiv w:val="1"/>
      <w:marLeft w:val="0"/>
      <w:marRight w:val="0"/>
      <w:marTop w:val="0"/>
      <w:marBottom w:val="0"/>
      <w:divBdr>
        <w:top w:val="none" w:sz="0" w:space="0" w:color="auto"/>
        <w:left w:val="none" w:sz="0" w:space="0" w:color="auto"/>
        <w:bottom w:val="none" w:sz="0" w:space="0" w:color="auto"/>
        <w:right w:val="none" w:sz="0" w:space="0" w:color="auto"/>
      </w:divBdr>
    </w:div>
    <w:div w:id="1140804218">
      <w:bodyDiv w:val="1"/>
      <w:marLeft w:val="0"/>
      <w:marRight w:val="0"/>
      <w:marTop w:val="0"/>
      <w:marBottom w:val="0"/>
      <w:divBdr>
        <w:top w:val="none" w:sz="0" w:space="0" w:color="auto"/>
        <w:left w:val="none" w:sz="0" w:space="0" w:color="auto"/>
        <w:bottom w:val="none" w:sz="0" w:space="0" w:color="auto"/>
        <w:right w:val="none" w:sz="0" w:space="0" w:color="auto"/>
      </w:divBdr>
    </w:div>
    <w:div w:id="1373076146">
      <w:bodyDiv w:val="1"/>
      <w:marLeft w:val="0"/>
      <w:marRight w:val="0"/>
      <w:marTop w:val="0"/>
      <w:marBottom w:val="0"/>
      <w:divBdr>
        <w:top w:val="none" w:sz="0" w:space="0" w:color="auto"/>
        <w:left w:val="none" w:sz="0" w:space="0" w:color="auto"/>
        <w:bottom w:val="none" w:sz="0" w:space="0" w:color="auto"/>
        <w:right w:val="none" w:sz="0" w:space="0" w:color="auto"/>
      </w:divBdr>
    </w:div>
    <w:div w:id="1387796015">
      <w:bodyDiv w:val="1"/>
      <w:marLeft w:val="0"/>
      <w:marRight w:val="0"/>
      <w:marTop w:val="0"/>
      <w:marBottom w:val="0"/>
      <w:divBdr>
        <w:top w:val="none" w:sz="0" w:space="0" w:color="auto"/>
        <w:left w:val="none" w:sz="0" w:space="0" w:color="auto"/>
        <w:bottom w:val="none" w:sz="0" w:space="0" w:color="auto"/>
        <w:right w:val="none" w:sz="0" w:space="0" w:color="auto"/>
      </w:divBdr>
    </w:div>
    <w:div w:id="1393695203">
      <w:bodyDiv w:val="1"/>
      <w:marLeft w:val="0"/>
      <w:marRight w:val="0"/>
      <w:marTop w:val="0"/>
      <w:marBottom w:val="0"/>
      <w:divBdr>
        <w:top w:val="none" w:sz="0" w:space="0" w:color="auto"/>
        <w:left w:val="none" w:sz="0" w:space="0" w:color="auto"/>
        <w:bottom w:val="none" w:sz="0" w:space="0" w:color="auto"/>
        <w:right w:val="none" w:sz="0" w:space="0" w:color="auto"/>
      </w:divBdr>
    </w:div>
    <w:div w:id="1421489318">
      <w:bodyDiv w:val="1"/>
      <w:marLeft w:val="0"/>
      <w:marRight w:val="0"/>
      <w:marTop w:val="0"/>
      <w:marBottom w:val="0"/>
      <w:divBdr>
        <w:top w:val="none" w:sz="0" w:space="0" w:color="auto"/>
        <w:left w:val="none" w:sz="0" w:space="0" w:color="auto"/>
        <w:bottom w:val="none" w:sz="0" w:space="0" w:color="auto"/>
        <w:right w:val="none" w:sz="0" w:space="0" w:color="auto"/>
      </w:divBdr>
    </w:div>
    <w:div w:id="1621958390">
      <w:bodyDiv w:val="1"/>
      <w:marLeft w:val="0"/>
      <w:marRight w:val="0"/>
      <w:marTop w:val="0"/>
      <w:marBottom w:val="0"/>
      <w:divBdr>
        <w:top w:val="none" w:sz="0" w:space="0" w:color="auto"/>
        <w:left w:val="none" w:sz="0" w:space="0" w:color="auto"/>
        <w:bottom w:val="none" w:sz="0" w:space="0" w:color="auto"/>
        <w:right w:val="none" w:sz="0" w:space="0" w:color="auto"/>
      </w:divBdr>
      <w:divsChild>
        <w:div w:id="481317589">
          <w:marLeft w:val="0"/>
          <w:marRight w:val="0"/>
          <w:marTop w:val="0"/>
          <w:marBottom w:val="0"/>
          <w:divBdr>
            <w:top w:val="none" w:sz="0" w:space="0" w:color="auto"/>
            <w:left w:val="none" w:sz="0" w:space="0" w:color="auto"/>
            <w:bottom w:val="none" w:sz="0" w:space="0" w:color="auto"/>
            <w:right w:val="none" w:sz="0" w:space="0" w:color="auto"/>
          </w:divBdr>
        </w:div>
      </w:divsChild>
    </w:div>
    <w:div w:id="1689216154">
      <w:bodyDiv w:val="1"/>
      <w:marLeft w:val="0"/>
      <w:marRight w:val="0"/>
      <w:marTop w:val="0"/>
      <w:marBottom w:val="0"/>
      <w:divBdr>
        <w:top w:val="none" w:sz="0" w:space="0" w:color="auto"/>
        <w:left w:val="none" w:sz="0" w:space="0" w:color="auto"/>
        <w:bottom w:val="none" w:sz="0" w:space="0" w:color="auto"/>
        <w:right w:val="none" w:sz="0" w:space="0" w:color="auto"/>
      </w:divBdr>
      <w:divsChild>
        <w:div w:id="2016223099">
          <w:marLeft w:val="0"/>
          <w:marRight w:val="0"/>
          <w:marTop w:val="0"/>
          <w:marBottom w:val="0"/>
          <w:divBdr>
            <w:top w:val="none" w:sz="0" w:space="0" w:color="auto"/>
            <w:left w:val="none" w:sz="0" w:space="0" w:color="auto"/>
            <w:bottom w:val="none" w:sz="0" w:space="0" w:color="auto"/>
            <w:right w:val="none" w:sz="0" w:space="0" w:color="auto"/>
          </w:divBdr>
        </w:div>
        <w:div w:id="2131968844">
          <w:marLeft w:val="0"/>
          <w:marRight w:val="0"/>
          <w:marTop w:val="0"/>
          <w:marBottom w:val="0"/>
          <w:divBdr>
            <w:top w:val="none" w:sz="0" w:space="0" w:color="auto"/>
            <w:left w:val="none" w:sz="0" w:space="0" w:color="auto"/>
            <w:bottom w:val="none" w:sz="0" w:space="0" w:color="auto"/>
            <w:right w:val="none" w:sz="0" w:space="0" w:color="auto"/>
          </w:divBdr>
          <w:divsChild>
            <w:div w:id="711924347">
              <w:marLeft w:val="0"/>
              <w:marRight w:val="0"/>
              <w:marTop w:val="0"/>
              <w:marBottom w:val="0"/>
              <w:divBdr>
                <w:top w:val="none" w:sz="0" w:space="0" w:color="auto"/>
                <w:left w:val="none" w:sz="0" w:space="0" w:color="auto"/>
                <w:bottom w:val="none" w:sz="0" w:space="0" w:color="auto"/>
                <w:right w:val="none" w:sz="0" w:space="0" w:color="auto"/>
              </w:divBdr>
              <w:divsChild>
                <w:div w:id="11329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947127">
      <w:bodyDiv w:val="1"/>
      <w:marLeft w:val="0"/>
      <w:marRight w:val="0"/>
      <w:marTop w:val="0"/>
      <w:marBottom w:val="0"/>
      <w:divBdr>
        <w:top w:val="none" w:sz="0" w:space="0" w:color="auto"/>
        <w:left w:val="none" w:sz="0" w:space="0" w:color="auto"/>
        <w:bottom w:val="none" w:sz="0" w:space="0" w:color="auto"/>
        <w:right w:val="none" w:sz="0" w:space="0" w:color="auto"/>
      </w:divBdr>
    </w:div>
    <w:div w:id="1731687070">
      <w:bodyDiv w:val="1"/>
      <w:marLeft w:val="0"/>
      <w:marRight w:val="0"/>
      <w:marTop w:val="0"/>
      <w:marBottom w:val="0"/>
      <w:divBdr>
        <w:top w:val="none" w:sz="0" w:space="0" w:color="auto"/>
        <w:left w:val="none" w:sz="0" w:space="0" w:color="auto"/>
        <w:bottom w:val="none" w:sz="0" w:space="0" w:color="auto"/>
        <w:right w:val="none" w:sz="0" w:space="0" w:color="auto"/>
      </w:divBdr>
    </w:div>
    <w:div w:id="1777024296">
      <w:bodyDiv w:val="1"/>
      <w:marLeft w:val="0"/>
      <w:marRight w:val="0"/>
      <w:marTop w:val="0"/>
      <w:marBottom w:val="0"/>
      <w:divBdr>
        <w:top w:val="none" w:sz="0" w:space="0" w:color="auto"/>
        <w:left w:val="none" w:sz="0" w:space="0" w:color="auto"/>
        <w:bottom w:val="none" w:sz="0" w:space="0" w:color="auto"/>
        <w:right w:val="none" w:sz="0" w:space="0" w:color="auto"/>
      </w:divBdr>
    </w:div>
    <w:div w:id="1864896109">
      <w:bodyDiv w:val="1"/>
      <w:marLeft w:val="0"/>
      <w:marRight w:val="0"/>
      <w:marTop w:val="0"/>
      <w:marBottom w:val="0"/>
      <w:divBdr>
        <w:top w:val="none" w:sz="0" w:space="0" w:color="auto"/>
        <w:left w:val="none" w:sz="0" w:space="0" w:color="auto"/>
        <w:bottom w:val="none" w:sz="0" w:space="0" w:color="auto"/>
        <w:right w:val="none" w:sz="0" w:space="0" w:color="auto"/>
      </w:divBdr>
    </w:div>
    <w:div w:id="1930234112">
      <w:bodyDiv w:val="1"/>
      <w:marLeft w:val="0"/>
      <w:marRight w:val="0"/>
      <w:marTop w:val="0"/>
      <w:marBottom w:val="0"/>
      <w:divBdr>
        <w:top w:val="none" w:sz="0" w:space="0" w:color="auto"/>
        <w:left w:val="none" w:sz="0" w:space="0" w:color="auto"/>
        <w:bottom w:val="none" w:sz="0" w:space="0" w:color="auto"/>
        <w:right w:val="none" w:sz="0" w:space="0" w:color="auto"/>
      </w:divBdr>
    </w:div>
    <w:div w:id="1948272812">
      <w:bodyDiv w:val="1"/>
      <w:marLeft w:val="0"/>
      <w:marRight w:val="0"/>
      <w:marTop w:val="0"/>
      <w:marBottom w:val="0"/>
      <w:divBdr>
        <w:top w:val="none" w:sz="0" w:space="0" w:color="auto"/>
        <w:left w:val="none" w:sz="0" w:space="0" w:color="auto"/>
        <w:bottom w:val="none" w:sz="0" w:space="0" w:color="auto"/>
        <w:right w:val="none" w:sz="0" w:space="0" w:color="auto"/>
      </w:divBdr>
      <w:divsChild>
        <w:div w:id="35400400">
          <w:marLeft w:val="0"/>
          <w:marRight w:val="0"/>
          <w:marTop w:val="0"/>
          <w:marBottom w:val="0"/>
          <w:divBdr>
            <w:top w:val="none" w:sz="0" w:space="0" w:color="auto"/>
            <w:left w:val="none" w:sz="0" w:space="0" w:color="auto"/>
            <w:bottom w:val="none" w:sz="0" w:space="0" w:color="auto"/>
            <w:right w:val="none" w:sz="0" w:space="0" w:color="auto"/>
          </w:divBdr>
          <w:divsChild>
            <w:div w:id="1903322116">
              <w:marLeft w:val="0"/>
              <w:marRight w:val="0"/>
              <w:marTop w:val="0"/>
              <w:marBottom w:val="0"/>
              <w:divBdr>
                <w:top w:val="none" w:sz="0" w:space="0" w:color="auto"/>
                <w:left w:val="none" w:sz="0" w:space="0" w:color="auto"/>
                <w:bottom w:val="none" w:sz="0" w:space="0" w:color="auto"/>
                <w:right w:val="none" w:sz="0" w:space="0" w:color="auto"/>
              </w:divBdr>
              <w:divsChild>
                <w:div w:id="2394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924770">
          <w:marLeft w:val="0"/>
          <w:marRight w:val="0"/>
          <w:marTop w:val="0"/>
          <w:marBottom w:val="0"/>
          <w:divBdr>
            <w:top w:val="none" w:sz="0" w:space="0" w:color="auto"/>
            <w:left w:val="none" w:sz="0" w:space="0" w:color="auto"/>
            <w:bottom w:val="none" w:sz="0" w:space="0" w:color="auto"/>
            <w:right w:val="none" w:sz="0" w:space="0" w:color="auto"/>
          </w:divBdr>
        </w:div>
      </w:divsChild>
    </w:div>
    <w:div w:id="1964537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adnikprzedsiebiorcy.pl/-podzial-zysku-w-spolce-zasady-dotyczace-podzialu-dywidendy" TargetMode="External"/><Relationship Id="rId13" Type="http://schemas.openxmlformats.org/officeDocument/2006/relationships/hyperlink" Target="https://urldefense.com/v3/__https:/sip.legalis.pl/document-view.seam?documentId=mfrxilrtg4ytgnbvgm4teltqmfyc4nbyga2tknrzgi__;!!IFaBcg!3sy-ra4tlwjMnWF0Ym8c_yI0H6ftfIMvb0oEilCkDBmhJsmme2pprfYt-OYDnpHttQ1SToY4O6ItG9QQ7wEN8qzusAr0Lkr9e0-OUZ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vguytgnjqgm4s44dboaxdcmjqgq2dgm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ldefense.com/v3/__http:/m.in__;!!Jkho33Y!k5_VfOW1FiRd8tATRNoKKKYMFro9U5DaIMQ4eQjwEn3d1vPR4sJNljVfIX8BRDaDqm3hxAwvm9VMlSgcTA0_eNO2saQPoFLRRE4$" TargetMode="External"/><Relationship Id="rId5" Type="http://schemas.openxmlformats.org/officeDocument/2006/relationships/webSettings" Target="webSettings.xml"/><Relationship Id="rId15" Type="http://schemas.openxmlformats.org/officeDocument/2006/relationships/hyperlink" Target="https://urldefense.com/v3/__http:/simap.europa.eu__;!!IFaBcg!2LTi3aEG9U0Jt1QkQitGVB5srFx54QFxYoCI6i5eBynLTOJnin5OHoqsXqxXDtGsRG40azqVq1UvQKOy29_4JmvCuH7-CsmGAfg2kDY$" TargetMode="External"/><Relationship Id="rId10" Type="http://schemas.openxmlformats.org/officeDocument/2006/relationships/hyperlink" Target="https://sip.legalis.pl/document-view.seam?documentId=mfrxilrtgm2tsnrrguytsltqmfyc4mzuhaztimrvgy&amp;refSource=hyplin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galis.pl/document-view.seam?documentId=mfrxilrtgm2tsnrrguytsltqmfyc4mzuhaztimrvgu&amp;refSource=hyplink" TargetMode="External"/><Relationship Id="rId14" Type="http://schemas.openxmlformats.org/officeDocument/2006/relationships/hyperlink" Target="https://urldefense.com/v3/__http:/simap.europa.eu__;!!IFaBcg!2LTi3aEG9U0Jt1QkQitGVB5srFx54QFxYoCI6i5eBynLTOJnin5OHoqsXqxXDtGsRG40azqVq1UvQKOy29_4JmvCuH7-CsmGAfg2kD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98891-0648-4002-88E9-2C0C5511E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100</Pages>
  <Words>46410</Words>
  <Characters>278463</Characters>
  <Application>Microsoft Office Word</Application>
  <DocSecurity>0</DocSecurity>
  <Lines>2320</Lines>
  <Paragraphs>648</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324225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Fiedeń</dc:creator>
  <cp:keywords/>
  <dc:description/>
  <cp:lastModifiedBy>Herman Anna</cp:lastModifiedBy>
  <cp:revision>2</cp:revision>
  <cp:lastPrinted>2023-04-04T11:16:00Z</cp:lastPrinted>
  <dcterms:created xsi:type="dcterms:W3CDTF">2023-06-22T12:29:00Z</dcterms:created>
  <dcterms:modified xsi:type="dcterms:W3CDTF">2023-06-22T12:29:00Z</dcterms:modified>
</cp:coreProperties>
</file>